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9C996">
      <w:pPr>
        <w:spacing w:line="360" w:lineRule="auto"/>
        <w:rPr>
          <w:rFonts w:hint="eastAsia" w:asciiTheme="minorEastAsia" w:hAnsiTheme="minorEastAsia" w:eastAsiaTheme="minorEastAsia" w:cstheme="minorEastAsia"/>
          <w:b/>
          <w:bCs/>
          <w:sz w:val="24"/>
          <w:szCs w:val="32"/>
          <w:lang w:val="en-US" w:eastAsia="zh-CN"/>
        </w:rPr>
      </w:pPr>
      <w:bookmarkStart w:id="0" w:name="_GoBack"/>
      <w:r>
        <w:rPr>
          <w:rFonts w:hint="eastAsia" w:asciiTheme="minorEastAsia" w:hAnsiTheme="minorEastAsia" w:eastAsiaTheme="minorEastAsia" w:cstheme="minorEastAsia"/>
          <w:b/>
          <w:bCs/>
          <w:sz w:val="24"/>
          <w:szCs w:val="32"/>
          <w:lang w:eastAsia="zh-CN"/>
        </w:rPr>
        <w:t>附件</w:t>
      </w:r>
      <w:r>
        <w:rPr>
          <w:rFonts w:hint="eastAsia" w:asciiTheme="minorEastAsia" w:hAnsiTheme="minorEastAsia" w:eastAsiaTheme="minorEastAsia" w:cstheme="minorEastAsia"/>
          <w:b/>
          <w:bCs/>
          <w:sz w:val="24"/>
          <w:szCs w:val="32"/>
          <w:lang w:val="en-US" w:eastAsia="zh-CN"/>
        </w:rPr>
        <w:t>4：</w:t>
      </w:r>
    </w:p>
    <w:p w14:paraId="4EB9CF31">
      <w:pPr>
        <w:spacing w:line="360" w:lineRule="auto"/>
        <w:jc w:val="center"/>
        <w:rPr>
          <w:rFonts w:hint="eastAsia" w:asciiTheme="minorEastAsia" w:hAnsiTheme="minorEastAsia" w:eastAsiaTheme="minorEastAsia" w:cstheme="minorEastAsia"/>
          <w:b/>
          <w:bCs/>
          <w:sz w:val="32"/>
          <w:szCs w:val="40"/>
          <w:lang w:val="zh-CN"/>
        </w:rPr>
      </w:pPr>
      <w:r>
        <w:rPr>
          <w:rFonts w:hint="eastAsia" w:asciiTheme="minorEastAsia" w:hAnsiTheme="minorEastAsia" w:eastAsiaTheme="minorEastAsia" w:cstheme="minorEastAsia"/>
          <w:b/>
          <w:bCs/>
          <w:sz w:val="32"/>
          <w:szCs w:val="40"/>
          <w:lang w:val="zh-CN"/>
        </w:rPr>
        <w:t>报价明细表</w:t>
      </w:r>
    </w:p>
    <w:bookmarkEnd w:id="0"/>
    <w:p w14:paraId="04B384D6">
      <w:pPr>
        <w:spacing w:line="360" w:lineRule="auto"/>
        <w:rPr>
          <w:rFonts w:hint="eastAsia" w:asciiTheme="minorEastAsia" w:hAnsiTheme="minorEastAsia" w:eastAsiaTheme="minorEastAsia" w:cstheme="minorEastAsia"/>
          <w:sz w:val="24"/>
          <w:szCs w:val="32"/>
          <w:lang w:val="zh-CN"/>
        </w:rPr>
      </w:pPr>
    </w:p>
    <w:tbl>
      <w:tblPr>
        <w:tblStyle w:val="2"/>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8"/>
        <w:gridCol w:w="1997"/>
        <w:gridCol w:w="1995"/>
        <w:gridCol w:w="1999"/>
      </w:tblGrid>
      <w:tr w14:paraId="5FE23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8" w:type="dxa"/>
            <w:vAlign w:val="center"/>
          </w:tcPr>
          <w:p w14:paraId="5C1967F3">
            <w:pPr>
              <w:spacing w:line="360" w:lineRule="auto"/>
              <w:jc w:val="cente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项目</w:t>
            </w:r>
            <w:r>
              <w:rPr>
                <w:rFonts w:hint="eastAsia" w:asciiTheme="minorEastAsia" w:hAnsiTheme="minorEastAsia" w:eastAsiaTheme="minorEastAsia" w:cstheme="minorEastAsia"/>
                <w:sz w:val="24"/>
                <w:szCs w:val="32"/>
              </w:rPr>
              <w:t>名称</w:t>
            </w:r>
          </w:p>
        </w:tc>
        <w:tc>
          <w:tcPr>
            <w:tcW w:w="1997" w:type="dxa"/>
            <w:vAlign w:val="center"/>
          </w:tcPr>
          <w:p w14:paraId="0DDCAE2E">
            <w:pPr>
              <w:spacing w:line="360" w:lineRule="auto"/>
              <w:jc w:val="center"/>
              <w:rPr>
                <w:rFonts w:hint="eastAsia"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品牌</w:t>
            </w:r>
            <w:r>
              <w:rPr>
                <w:rFonts w:hint="eastAsia" w:asciiTheme="minorEastAsia" w:hAnsiTheme="minorEastAsia" w:eastAsiaTheme="minorEastAsia" w:cstheme="minorEastAsia"/>
                <w:sz w:val="24"/>
                <w:szCs w:val="32"/>
                <w:lang w:val="en-US" w:eastAsia="zh-CN"/>
              </w:rPr>
              <w:t>主要参数</w:t>
            </w:r>
          </w:p>
        </w:tc>
        <w:tc>
          <w:tcPr>
            <w:tcW w:w="1995" w:type="dxa"/>
            <w:vAlign w:val="center"/>
          </w:tcPr>
          <w:p w14:paraId="1EA1F1C4">
            <w:pPr>
              <w:spacing w:line="360" w:lineRule="auto"/>
              <w:jc w:val="center"/>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控制价（元）</w:t>
            </w:r>
          </w:p>
        </w:tc>
        <w:tc>
          <w:tcPr>
            <w:tcW w:w="1999" w:type="dxa"/>
            <w:vAlign w:val="center"/>
          </w:tcPr>
          <w:p w14:paraId="624C9A0A">
            <w:pPr>
              <w:spacing w:line="360" w:lineRule="auto"/>
              <w:jc w:val="cente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报价（元）</w:t>
            </w:r>
          </w:p>
        </w:tc>
      </w:tr>
      <w:tr w14:paraId="4AAB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2528" w:type="dxa"/>
            <w:vAlign w:val="center"/>
          </w:tcPr>
          <w:p w14:paraId="51F8D2E0">
            <w:pPr>
              <w:spacing w:line="360" w:lineRule="auto"/>
              <w:jc w:val="center"/>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bCs/>
                <w:color w:val="auto"/>
                <w:kern w:val="2"/>
                <w:sz w:val="24"/>
                <w:szCs w:val="24"/>
                <w:lang w:val="en-US" w:eastAsia="zh-CN" w:bidi="ar-SA"/>
              </w:rPr>
              <w:t>T1柴油发电机组控制系统</w:t>
            </w:r>
          </w:p>
        </w:tc>
        <w:tc>
          <w:tcPr>
            <w:tcW w:w="1997" w:type="dxa"/>
            <w:vAlign w:val="center"/>
          </w:tcPr>
          <w:p w14:paraId="6B92B7AD">
            <w:pPr>
              <w:spacing w:line="360" w:lineRule="auto"/>
              <w:jc w:val="center"/>
              <w:rPr>
                <w:rFonts w:hint="eastAsia" w:asciiTheme="minorEastAsia" w:hAnsiTheme="minorEastAsia" w:eastAsiaTheme="minorEastAsia" w:cstheme="minorEastAsia"/>
                <w:sz w:val="24"/>
                <w:szCs w:val="32"/>
                <w:lang w:val="en-US" w:eastAsia="zh-CN"/>
              </w:rPr>
            </w:pPr>
          </w:p>
        </w:tc>
        <w:tc>
          <w:tcPr>
            <w:tcW w:w="1995" w:type="dxa"/>
            <w:vAlign w:val="center"/>
          </w:tcPr>
          <w:p w14:paraId="4B4B6CB1">
            <w:pPr>
              <w:spacing w:line="360" w:lineRule="auto"/>
              <w:jc w:val="center"/>
              <w:rPr>
                <w:rFonts w:hint="default"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28</w:t>
            </w:r>
            <w:r>
              <w:rPr>
                <w:rFonts w:hint="eastAsia" w:asciiTheme="minorEastAsia" w:hAnsiTheme="minorEastAsia" w:cstheme="minorEastAsia"/>
                <w:sz w:val="24"/>
                <w:szCs w:val="32"/>
                <w:lang w:val="en-US" w:eastAsia="zh-CN"/>
              </w:rPr>
              <w:t>991</w:t>
            </w:r>
          </w:p>
        </w:tc>
        <w:tc>
          <w:tcPr>
            <w:tcW w:w="1999" w:type="dxa"/>
            <w:vAlign w:val="center"/>
          </w:tcPr>
          <w:p w14:paraId="0F350552">
            <w:pPr>
              <w:spacing w:line="360" w:lineRule="auto"/>
              <w:jc w:val="center"/>
              <w:rPr>
                <w:rFonts w:hint="eastAsia" w:asciiTheme="minorEastAsia" w:hAnsiTheme="minorEastAsia" w:eastAsiaTheme="minorEastAsia" w:cstheme="minorEastAsia"/>
                <w:sz w:val="24"/>
                <w:szCs w:val="32"/>
              </w:rPr>
            </w:pPr>
          </w:p>
        </w:tc>
      </w:tr>
      <w:tr w14:paraId="54D60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8519" w:type="dxa"/>
            <w:gridSpan w:val="4"/>
            <w:vAlign w:val="center"/>
          </w:tcPr>
          <w:p w14:paraId="30DA2FA5">
            <w:pPr>
              <w:spacing w:line="360" w:lineRule="auto"/>
              <w:jc w:val="center"/>
              <w:rPr>
                <w:rFonts w:hint="default" w:asciiTheme="minorEastAsia" w:hAnsiTheme="minorEastAsia" w:eastAsiaTheme="minorEastAsia" w:cstheme="minorEastAsia"/>
                <w:sz w:val="24"/>
                <w:szCs w:val="32"/>
                <w:lang w:val="en-US" w:eastAsia="zh-CN"/>
              </w:rPr>
            </w:pPr>
            <w:r>
              <w:rPr>
                <w:rFonts w:hint="eastAsia" w:ascii="仿宋" w:hAnsi="仿宋" w:eastAsia="仿宋"/>
                <w:sz w:val="24"/>
                <w:szCs w:val="32"/>
                <w:lang w:val="en-US" w:eastAsia="zh-CN"/>
              </w:rPr>
              <w:t>供货周期：   天     税率：[X]%</w:t>
            </w:r>
          </w:p>
        </w:tc>
      </w:tr>
      <w:tr w14:paraId="2B95D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8519" w:type="dxa"/>
            <w:gridSpan w:val="4"/>
            <w:vAlign w:val="center"/>
          </w:tcPr>
          <w:p w14:paraId="6E17871C">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质保期：[]年</w:t>
            </w:r>
          </w:p>
        </w:tc>
      </w:tr>
    </w:tbl>
    <w:p w14:paraId="52532276">
      <w:pPr>
        <w:spacing w:line="360" w:lineRule="auto"/>
        <w:rPr>
          <w:rFonts w:hint="eastAsia" w:asciiTheme="minorEastAsia" w:hAnsiTheme="minorEastAsia" w:eastAsiaTheme="minorEastAsia" w:cstheme="minorEastAsia"/>
          <w:sz w:val="24"/>
          <w:szCs w:val="32"/>
        </w:rPr>
      </w:pPr>
    </w:p>
    <w:p w14:paraId="64D1F964">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注：1、此价格为固定包干价，包含材料原价、税金、运输、装卸</w:t>
      </w:r>
      <w:r>
        <w:rPr>
          <w:rFonts w:hint="eastAsia" w:asciiTheme="minorEastAsia" w:hAnsiTheme="minorEastAsia" w:cstheme="minorEastAsia"/>
          <w:sz w:val="24"/>
          <w:szCs w:val="32"/>
          <w:lang w:val="en-US" w:eastAsia="zh-CN"/>
        </w:rPr>
        <w:t>、安装调试、售后服务</w:t>
      </w:r>
      <w:r>
        <w:rPr>
          <w:rFonts w:hint="eastAsia" w:asciiTheme="minorEastAsia" w:hAnsiTheme="minorEastAsia" w:eastAsiaTheme="minorEastAsia" w:cstheme="minorEastAsia"/>
          <w:sz w:val="24"/>
          <w:szCs w:val="32"/>
          <w:lang w:val="en-US" w:eastAsia="zh-CN"/>
        </w:rPr>
        <w:t>费等到货验收合格正常运行所需的全部费用。</w:t>
      </w:r>
    </w:p>
    <w:p w14:paraId="67D66FC1">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2、装卸要求：供货人将货物送至采购人指定地点，费用包含在报价中。</w:t>
      </w:r>
    </w:p>
    <w:p w14:paraId="23F988D2">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3、报价人需严格按《报价函（模板）》内容制作《报价函》，由于报价人的疏漏出现重要内容更改、重要内容删减、额外附加条件等从而导致报价文件被拒绝或其他不利于报价人的评审结果，责任由报价人自负。</w:t>
      </w:r>
    </w:p>
    <w:p w14:paraId="7454FB0F">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4、此表若为授权委托人签字需另附法定代表人/单位负责人授权委托书，格式自拟。</w:t>
      </w:r>
    </w:p>
    <w:p w14:paraId="72F574C5">
      <w:pPr>
        <w:spacing w:line="360" w:lineRule="auto"/>
        <w:rPr>
          <w:rFonts w:hint="eastAsia" w:asciiTheme="minorEastAsia" w:hAnsiTheme="minorEastAsia" w:eastAsiaTheme="minorEastAsia" w:cstheme="minorEastAsia"/>
          <w:sz w:val="24"/>
          <w:szCs w:val="32"/>
          <w:lang w:val="zh-CN"/>
        </w:rPr>
      </w:pPr>
    </w:p>
    <w:p w14:paraId="19BB8181">
      <w:pPr>
        <w:spacing w:line="360" w:lineRule="auto"/>
        <w:rPr>
          <w:rFonts w:hint="eastAsia" w:asciiTheme="minorEastAsia" w:hAnsiTheme="minorEastAsia" w:eastAsiaTheme="minorEastAsia" w:cstheme="minorEastAsia"/>
          <w:sz w:val="24"/>
          <w:szCs w:val="32"/>
        </w:rPr>
      </w:pPr>
    </w:p>
    <w:p w14:paraId="4E961BD2">
      <w:pPr>
        <w:spacing w:line="360" w:lineRule="auto"/>
        <w:ind w:firstLine="3120" w:firstLineChars="13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法定代表人</w:t>
      </w:r>
      <w:r>
        <w:rPr>
          <w:rFonts w:hint="eastAsia" w:asciiTheme="minorEastAsia" w:hAnsiTheme="minorEastAsia" w:eastAsiaTheme="minorEastAsia" w:cstheme="minorEastAsia"/>
          <w:sz w:val="24"/>
          <w:szCs w:val="32"/>
          <w:lang w:val="en-US" w:eastAsia="zh-CN"/>
        </w:rPr>
        <w:t>/单位负责人</w:t>
      </w:r>
      <w:r>
        <w:rPr>
          <w:rFonts w:hint="eastAsia" w:asciiTheme="minorEastAsia" w:hAnsiTheme="minorEastAsia" w:eastAsiaTheme="minorEastAsia" w:cstheme="minorEastAsia"/>
          <w:sz w:val="24"/>
          <w:szCs w:val="32"/>
        </w:rPr>
        <w:t>或授权委托人：（签字）</w:t>
      </w:r>
    </w:p>
    <w:p w14:paraId="13817233">
      <w:pPr>
        <w:spacing w:line="360" w:lineRule="auto"/>
        <w:ind w:firstLine="5040" w:firstLineChars="2100"/>
        <w:rPr>
          <w:rFonts w:hint="eastAsia" w:asciiTheme="minorEastAsia" w:hAnsiTheme="minorEastAsia" w:eastAsiaTheme="minorEastAsia" w:cstheme="minorEastAsia"/>
          <w:sz w:val="24"/>
          <w:szCs w:val="32"/>
          <w:lang w:val="en-US" w:eastAsia="zh-CN"/>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sz w:val="24"/>
          <w:szCs w:val="32"/>
          <w:lang w:val="en-US" w:eastAsia="zh-CN"/>
        </w:rPr>
        <w:t>报价人（单位公章）：</w:t>
      </w:r>
    </w:p>
    <w:p w14:paraId="3E085613">
      <w:pPr>
        <w:spacing w:line="360" w:lineRule="auto"/>
        <w:jc w:val="left"/>
        <w:rPr>
          <w:rFonts w:hint="eastAsia" w:ascii="宋体" w:hAnsi="宋体"/>
          <w:b/>
          <w:color w:val="auto"/>
          <w:sz w:val="36"/>
          <w:szCs w:val="36"/>
          <w:highlight w:val="none"/>
        </w:rPr>
      </w:pPr>
      <w:r>
        <w:rPr>
          <w:rFonts w:hint="eastAsia" w:ascii="宋体" w:hAnsi="宋体" w:eastAsia="宋体" w:cs="Times New Roman"/>
          <w:b/>
          <w:bCs/>
          <w:color w:val="auto"/>
          <w:sz w:val="24"/>
          <w:szCs w:val="32"/>
          <w:highlight w:val="none"/>
          <w:lang w:val="en-US" w:eastAsia="zh-CN"/>
        </w:rPr>
        <w:t>附件5：</w:t>
      </w:r>
      <w:r>
        <w:rPr>
          <w:rFonts w:hint="eastAsia" w:ascii="宋体" w:hAnsi="宋体"/>
          <w:color w:val="auto"/>
          <w:sz w:val="24"/>
          <w:szCs w:val="32"/>
          <w:highlight w:val="none"/>
          <w:lang w:val="en-US" w:eastAsia="zh-CN"/>
        </w:rPr>
        <w:t xml:space="preserve"> </w:t>
      </w:r>
      <w:r>
        <w:rPr>
          <w:rFonts w:hint="eastAsia" w:ascii="宋体" w:hAnsi="宋体"/>
          <w:color w:val="auto"/>
          <w:sz w:val="24"/>
          <w:szCs w:val="32"/>
          <w:highlight w:val="none"/>
        </w:rPr>
        <w:t xml:space="preserve">                         </w:t>
      </w:r>
      <w:r>
        <w:rPr>
          <w:rFonts w:hint="eastAsia" w:ascii="宋体" w:hAnsi="宋体"/>
          <w:b/>
          <w:color w:val="auto"/>
          <w:sz w:val="32"/>
          <w:szCs w:val="32"/>
          <w:highlight w:val="none"/>
        </w:rPr>
        <w:t xml:space="preserve"> </w:t>
      </w:r>
      <w:r>
        <w:rPr>
          <w:rFonts w:hint="eastAsia" w:ascii="宋体" w:hAnsi="宋体"/>
          <w:b/>
          <w:color w:val="auto"/>
          <w:sz w:val="36"/>
          <w:szCs w:val="36"/>
          <w:highlight w:val="none"/>
        </w:rPr>
        <w:t xml:space="preserve"> </w:t>
      </w:r>
    </w:p>
    <w:p w14:paraId="44DB5114">
      <w:pPr>
        <w:spacing w:line="360" w:lineRule="auto"/>
        <w:jc w:val="center"/>
        <w:rPr>
          <w:rFonts w:hint="eastAsia" w:ascii="宋体" w:hAnsi="宋体" w:eastAsia="宋体" w:cs="Times New Roman"/>
          <w:color w:val="auto"/>
          <w:sz w:val="32"/>
          <w:szCs w:val="32"/>
          <w:highlight w:val="none"/>
          <w:lang w:val="en-US" w:eastAsia="zh-CN"/>
        </w:rPr>
      </w:pPr>
      <w:r>
        <w:rPr>
          <w:rFonts w:hint="eastAsia" w:ascii="宋体" w:hAnsi="宋体"/>
          <w:b/>
          <w:color w:val="auto"/>
          <w:sz w:val="32"/>
          <w:szCs w:val="32"/>
          <w:highlight w:val="none"/>
          <w:lang w:val="en-US" w:eastAsia="zh-CN"/>
        </w:rPr>
        <w:t>技术参数应答表</w:t>
      </w:r>
    </w:p>
    <w:tbl>
      <w:tblPr>
        <w:tblStyle w:val="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939"/>
        <w:gridCol w:w="1038"/>
        <w:gridCol w:w="3912"/>
        <w:gridCol w:w="1941"/>
      </w:tblGrid>
      <w:tr w14:paraId="1B68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405" w:type="pct"/>
            <w:vAlign w:val="center"/>
          </w:tcPr>
          <w:p w14:paraId="7096FFC2">
            <w:pPr>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序号</w:t>
            </w:r>
          </w:p>
        </w:tc>
        <w:tc>
          <w:tcPr>
            <w:tcW w:w="551" w:type="pct"/>
            <w:vAlign w:val="center"/>
          </w:tcPr>
          <w:p w14:paraId="1619B2B4">
            <w:pPr>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项目</w:t>
            </w:r>
          </w:p>
        </w:tc>
        <w:tc>
          <w:tcPr>
            <w:tcW w:w="2905" w:type="pct"/>
            <w:gridSpan w:val="2"/>
            <w:vAlign w:val="center"/>
          </w:tcPr>
          <w:p w14:paraId="72B7B044">
            <w:pPr>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技术标准及相关要求</w:t>
            </w:r>
          </w:p>
        </w:tc>
        <w:tc>
          <w:tcPr>
            <w:tcW w:w="1138" w:type="pct"/>
            <w:vAlign w:val="center"/>
          </w:tcPr>
          <w:p w14:paraId="4D8E31E1">
            <w:pPr>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是否负偏离</w:t>
            </w:r>
          </w:p>
        </w:tc>
      </w:tr>
      <w:tr w14:paraId="1A541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5" w:type="pct"/>
            <w:vMerge w:val="restart"/>
            <w:shd w:val="clear" w:color="auto" w:fill="auto"/>
            <w:vAlign w:val="center"/>
          </w:tcPr>
          <w:p w14:paraId="5C6296E0">
            <w:pPr>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551" w:type="pct"/>
            <w:vMerge w:val="restart"/>
            <w:shd w:val="clear" w:color="auto" w:fill="auto"/>
            <w:vAlign w:val="center"/>
          </w:tcPr>
          <w:p w14:paraId="5FE49DBC">
            <w:pPr>
              <w:jc w:val="center"/>
              <w:rPr>
                <w:rFonts w:hint="default"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总体要求</w:t>
            </w:r>
          </w:p>
        </w:tc>
        <w:tc>
          <w:tcPr>
            <w:tcW w:w="609" w:type="pct"/>
            <w:vAlign w:val="center"/>
          </w:tcPr>
          <w:p w14:paraId="7DFD2E9A">
            <w:pPr>
              <w:rPr>
                <w:rFonts w:hint="default" w:ascii="宋体" w:hAnsi="宋体" w:eastAsia="宋体" w:cs="宋体"/>
                <w:color w:val="auto"/>
                <w:sz w:val="24"/>
                <w:szCs w:val="24"/>
                <w:lang w:val="en-US" w:eastAsia="zh-CN"/>
              </w:rPr>
            </w:pPr>
            <w:r>
              <w:rPr>
                <w:rFonts w:hint="eastAsia" w:ascii="Arial" w:hAnsi="Arial" w:cs="Arial" w:eastAsiaTheme="minorEastAsia"/>
                <w:color w:val="auto"/>
                <w:sz w:val="24"/>
                <w:szCs w:val="24"/>
                <w:lang w:eastAsia="zh-CN"/>
              </w:rPr>
              <w:t>标准</w:t>
            </w:r>
          </w:p>
        </w:tc>
        <w:tc>
          <w:tcPr>
            <w:tcW w:w="2296" w:type="pct"/>
            <w:vAlign w:val="center"/>
          </w:tcPr>
          <w:p w14:paraId="0151E79C">
            <w:pPr>
              <w:rPr>
                <w:rFonts w:hint="default" w:ascii="宋体" w:hAnsi="宋体" w:eastAsia="宋体" w:cs="宋体"/>
                <w:color w:val="auto"/>
                <w:sz w:val="24"/>
                <w:szCs w:val="24"/>
                <w:lang w:val="en-US" w:eastAsia="zh-CN"/>
              </w:rPr>
            </w:pPr>
            <w:r>
              <w:rPr>
                <w:rFonts w:hint="eastAsia" w:ascii="Arial" w:hAnsi="Arial" w:cs="Arial" w:eastAsiaTheme="minorEastAsia"/>
                <w:color w:val="auto"/>
                <w:sz w:val="24"/>
                <w:szCs w:val="24"/>
                <w:lang w:eastAsia="zh-CN"/>
              </w:rPr>
              <w:t>符合国家及行业标准（如GB/T 2820、GB/T 12786、ISO 8528等），并通过相关认证（如CE、UL等）</w:t>
            </w:r>
            <w:r>
              <w:rPr>
                <w:rFonts w:hint="eastAsia" w:ascii="Arial" w:hAnsi="Arial" w:cs="Arial"/>
                <w:color w:val="auto"/>
                <w:sz w:val="24"/>
                <w:szCs w:val="24"/>
                <w:lang w:eastAsia="zh-CN"/>
              </w:rPr>
              <w:t>。</w:t>
            </w:r>
          </w:p>
        </w:tc>
        <w:tc>
          <w:tcPr>
            <w:tcW w:w="1138" w:type="pct"/>
            <w:vAlign w:val="center"/>
          </w:tcPr>
          <w:p w14:paraId="69DC5651">
            <w:pPr>
              <w:jc w:val="center"/>
              <w:rPr>
                <w:rFonts w:hint="eastAsia" w:ascii="宋体" w:hAnsi="宋体" w:eastAsia="宋体" w:cs="宋体"/>
                <w:color w:val="auto"/>
                <w:sz w:val="24"/>
                <w:szCs w:val="24"/>
                <w:lang w:val="en-US" w:eastAsia="zh-CN"/>
              </w:rPr>
            </w:pPr>
          </w:p>
        </w:tc>
      </w:tr>
      <w:tr w14:paraId="75721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05" w:type="pct"/>
            <w:vMerge w:val="continue"/>
            <w:shd w:val="clear" w:color="auto" w:fill="auto"/>
            <w:vAlign w:val="center"/>
          </w:tcPr>
          <w:p w14:paraId="1F465528">
            <w:pPr>
              <w:jc w:val="both"/>
              <w:rPr>
                <w:color w:val="auto"/>
              </w:rPr>
            </w:pPr>
          </w:p>
        </w:tc>
        <w:tc>
          <w:tcPr>
            <w:tcW w:w="551" w:type="pct"/>
            <w:vMerge w:val="continue"/>
            <w:shd w:val="clear" w:color="auto" w:fill="auto"/>
            <w:vAlign w:val="center"/>
          </w:tcPr>
          <w:p w14:paraId="250B7461">
            <w:pPr>
              <w:jc w:val="both"/>
              <w:rPr>
                <w:color w:val="auto"/>
              </w:rPr>
            </w:pPr>
          </w:p>
        </w:tc>
        <w:tc>
          <w:tcPr>
            <w:tcW w:w="609" w:type="pct"/>
            <w:vAlign w:val="center"/>
          </w:tcPr>
          <w:p w14:paraId="40F43333">
            <w:pPr>
              <w:rPr>
                <w:rFonts w:hint="default" w:ascii="宋体" w:hAnsi="宋体" w:eastAsia="宋体" w:cs="宋体"/>
                <w:color w:val="auto"/>
                <w:sz w:val="24"/>
                <w:szCs w:val="24"/>
                <w:lang w:val="en-US" w:eastAsia="zh-CN"/>
              </w:rPr>
            </w:pPr>
            <w:r>
              <w:rPr>
                <w:rFonts w:hint="eastAsia" w:ascii="Arial" w:hAnsi="Arial" w:cs="Arial" w:eastAsiaTheme="minorEastAsia"/>
                <w:color w:val="auto"/>
                <w:sz w:val="24"/>
                <w:szCs w:val="24"/>
                <w:lang w:eastAsia="zh-CN"/>
              </w:rPr>
              <w:t>兼容性</w:t>
            </w:r>
          </w:p>
        </w:tc>
        <w:tc>
          <w:tcPr>
            <w:tcW w:w="2296" w:type="pct"/>
            <w:vAlign w:val="center"/>
          </w:tcPr>
          <w:p w14:paraId="46C9A22A">
            <w:pPr>
              <w:rPr>
                <w:rFonts w:hint="default" w:ascii="宋体" w:hAnsi="宋体" w:eastAsia="宋体" w:cs="宋体"/>
                <w:color w:val="auto"/>
                <w:sz w:val="24"/>
                <w:szCs w:val="24"/>
                <w:lang w:val="en-US" w:eastAsia="zh-CN"/>
              </w:rPr>
            </w:pPr>
            <w:r>
              <w:rPr>
                <w:rFonts w:hint="eastAsia" w:ascii="Arial" w:hAnsi="Arial" w:cs="Arial" w:eastAsiaTheme="minorEastAsia"/>
                <w:color w:val="auto"/>
                <w:sz w:val="24"/>
                <w:szCs w:val="24"/>
                <w:lang w:eastAsia="zh-CN"/>
              </w:rPr>
              <w:t>新控制器需与原发电机组（发动机、发电机、传感器等）硬件及通信协议兼容</w:t>
            </w:r>
            <w:r>
              <w:rPr>
                <w:rFonts w:hint="eastAsia" w:ascii="Arial" w:hAnsi="Arial" w:cs="Arial"/>
                <w:color w:val="auto"/>
                <w:sz w:val="24"/>
                <w:szCs w:val="24"/>
                <w:lang w:eastAsia="zh-CN"/>
              </w:rPr>
              <w:t>。</w:t>
            </w:r>
          </w:p>
        </w:tc>
        <w:tc>
          <w:tcPr>
            <w:tcW w:w="1138" w:type="pct"/>
            <w:vAlign w:val="center"/>
          </w:tcPr>
          <w:p w14:paraId="0B35F80E">
            <w:pPr>
              <w:jc w:val="both"/>
              <w:rPr>
                <w:rFonts w:hint="default" w:ascii="宋体" w:hAnsi="宋体" w:eastAsia="宋体" w:cs="宋体"/>
                <w:color w:val="auto"/>
                <w:sz w:val="24"/>
                <w:szCs w:val="24"/>
                <w:lang w:val="en-US" w:eastAsia="zh-CN"/>
              </w:rPr>
            </w:pPr>
          </w:p>
        </w:tc>
      </w:tr>
      <w:tr w14:paraId="69CC4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05" w:type="pct"/>
            <w:vMerge w:val="continue"/>
            <w:shd w:val="clear" w:color="auto" w:fill="auto"/>
            <w:vAlign w:val="center"/>
          </w:tcPr>
          <w:p w14:paraId="624C9258">
            <w:pPr>
              <w:jc w:val="both"/>
              <w:rPr>
                <w:rFonts w:hint="default" w:ascii="宋体" w:hAnsi="宋体" w:eastAsia="宋体" w:cs="宋体"/>
                <w:color w:val="auto"/>
                <w:sz w:val="24"/>
                <w:szCs w:val="24"/>
                <w:lang w:val="en-US" w:eastAsia="zh-CN"/>
              </w:rPr>
            </w:pPr>
          </w:p>
        </w:tc>
        <w:tc>
          <w:tcPr>
            <w:tcW w:w="551" w:type="pct"/>
            <w:vMerge w:val="continue"/>
            <w:shd w:val="clear" w:color="auto" w:fill="auto"/>
            <w:vAlign w:val="center"/>
          </w:tcPr>
          <w:p w14:paraId="6960C7AD">
            <w:pPr>
              <w:jc w:val="both"/>
              <w:rPr>
                <w:rFonts w:hint="default" w:ascii="宋体" w:hAnsi="宋体" w:eastAsia="宋体" w:cs="宋体"/>
                <w:color w:val="auto"/>
                <w:sz w:val="24"/>
                <w:szCs w:val="24"/>
                <w:lang w:val="en-US" w:eastAsia="zh-CN"/>
              </w:rPr>
            </w:pPr>
          </w:p>
        </w:tc>
        <w:tc>
          <w:tcPr>
            <w:tcW w:w="609" w:type="pct"/>
            <w:vAlign w:val="center"/>
          </w:tcPr>
          <w:p w14:paraId="67515012">
            <w:pPr>
              <w:rPr>
                <w:rFonts w:hint="default" w:ascii="宋体" w:hAnsi="宋体" w:eastAsia="宋体" w:cs="宋体"/>
                <w:color w:val="auto"/>
                <w:sz w:val="24"/>
                <w:szCs w:val="24"/>
                <w:lang w:val="en-US" w:eastAsia="zh-CN"/>
              </w:rPr>
            </w:pPr>
            <w:r>
              <w:rPr>
                <w:rFonts w:hint="eastAsia" w:ascii="Arial" w:hAnsi="Arial" w:cs="Arial" w:eastAsiaTheme="minorEastAsia"/>
                <w:color w:val="auto"/>
                <w:sz w:val="24"/>
                <w:szCs w:val="24"/>
                <w:lang w:eastAsia="zh-CN"/>
              </w:rPr>
              <w:t>安全性</w:t>
            </w:r>
          </w:p>
        </w:tc>
        <w:tc>
          <w:tcPr>
            <w:tcW w:w="2296" w:type="pct"/>
            <w:vAlign w:val="center"/>
          </w:tcPr>
          <w:p w14:paraId="516C67FC">
            <w:pPr>
              <w:rPr>
                <w:rFonts w:hint="default" w:ascii="宋体" w:hAnsi="宋体" w:eastAsia="宋体" w:cs="宋体"/>
                <w:color w:val="auto"/>
                <w:sz w:val="24"/>
                <w:szCs w:val="24"/>
                <w:lang w:val="en-US" w:eastAsia="zh-CN"/>
              </w:rPr>
            </w:pPr>
            <w:r>
              <w:rPr>
                <w:rFonts w:hint="eastAsia" w:ascii="Arial" w:hAnsi="Arial" w:cs="Arial" w:eastAsiaTheme="minorEastAsia"/>
                <w:color w:val="auto"/>
                <w:sz w:val="24"/>
                <w:szCs w:val="24"/>
                <w:lang w:eastAsia="zh-CN"/>
              </w:rPr>
              <w:t>具备过压、过流、短路、逆功率、超速、欠频、等保护功能，符合IP防护等级（如IP65以上）</w:t>
            </w:r>
            <w:r>
              <w:rPr>
                <w:rFonts w:hint="eastAsia" w:ascii="Arial" w:hAnsi="Arial" w:cs="Arial"/>
                <w:color w:val="auto"/>
                <w:sz w:val="24"/>
                <w:szCs w:val="24"/>
                <w:lang w:eastAsia="zh-CN"/>
              </w:rPr>
              <w:t>。</w:t>
            </w:r>
          </w:p>
        </w:tc>
        <w:tc>
          <w:tcPr>
            <w:tcW w:w="1138" w:type="pct"/>
            <w:vAlign w:val="center"/>
          </w:tcPr>
          <w:p w14:paraId="60CED437">
            <w:pPr>
              <w:jc w:val="both"/>
              <w:rPr>
                <w:rFonts w:hint="default" w:ascii="宋体" w:hAnsi="宋体" w:eastAsia="宋体" w:cs="宋体"/>
                <w:color w:val="auto"/>
                <w:sz w:val="24"/>
                <w:szCs w:val="24"/>
                <w:lang w:val="en-US" w:eastAsia="zh-CN"/>
              </w:rPr>
            </w:pPr>
          </w:p>
        </w:tc>
      </w:tr>
      <w:tr w14:paraId="2102D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05" w:type="pct"/>
            <w:vMerge w:val="continue"/>
            <w:shd w:val="clear" w:color="auto" w:fill="auto"/>
            <w:vAlign w:val="center"/>
          </w:tcPr>
          <w:p w14:paraId="707294FA">
            <w:pPr>
              <w:jc w:val="both"/>
              <w:rPr>
                <w:rFonts w:hint="default" w:ascii="宋体" w:hAnsi="宋体" w:eastAsia="宋体" w:cs="宋体"/>
                <w:color w:val="auto"/>
                <w:sz w:val="24"/>
                <w:szCs w:val="24"/>
                <w:lang w:val="en-US" w:eastAsia="zh-CN"/>
              </w:rPr>
            </w:pPr>
          </w:p>
        </w:tc>
        <w:tc>
          <w:tcPr>
            <w:tcW w:w="551" w:type="pct"/>
            <w:vMerge w:val="continue"/>
            <w:shd w:val="clear" w:color="auto" w:fill="auto"/>
            <w:vAlign w:val="center"/>
          </w:tcPr>
          <w:p w14:paraId="6CB795BA">
            <w:pPr>
              <w:jc w:val="both"/>
              <w:rPr>
                <w:rFonts w:hint="default" w:ascii="宋体" w:hAnsi="宋体" w:eastAsia="宋体" w:cs="宋体"/>
                <w:color w:val="auto"/>
                <w:sz w:val="24"/>
                <w:szCs w:val="24"/>
                <w:lang w:val="en-US" w:eastAsia="zh-CN"/>
              </w:rPr>
            </w:pPr>
          </w:p>
        </w:tc>
        <w:tc>
          <w:tcPr>
            <w:tcW w:w="609" w:type="pct"/>
            <w:vAlign w:val="center"/>
          </w:tcPr>
          <w:p w14:paraId="0217A9C7">
            <w:pPr>
              <w:rPr>
                <w:rFonts w:hint="default" w:ascii="宋体" w:hAnsi="宋体" w:eastAsia="宋体" w:cs="宋体"/>
                <w:color w:val="auto"/>
                <w:sz w:val="24"/>
                <w:szCs w:val="24"/>
                <w:lang w:val="en-US" w:eastAsia="zh-CN"/>
              </w:rPr>
            </w:pPr>
            <w:r>
              <w:rPr>
                <w:rFonts w:hint="eastAsia" w:ascii="Arial" w:hAnsi="Arial" w:cs="Arial" w:eastAsiaTheme="minorEastAsia"/>
                <w:color w:val="auto"/>
                <w:sz w:val="24"/>
                <w:szCs w:val="24"/>
                <w:lang w:eastAsia="zh-CN"/>
              </w:rPr>
              <w:t>快速启动</w:t>
            </w:r>
          </w:p>
        </w:tc>
        <w:tc>
          <w:tcPr>
            <w:tcW w:w="2296" w:type="pct"/>
            <w:vAlign w:val="center"/>
          </w:tcPr>
          <w:p w14:paraId="164044C4">
            <w:pPr>
              <w:rPr>
                <w:rFonts w:hint="default" w:ascii="宋体" w:hAnsi="宋体" w:eastAsia="宋体" w:cs="宋体"/>
                <w:color w:val="auto"/>
                <w:sz w:val="24"/>
                <w:szCs w:val="24"/>
                <w:lang w:val="en-US" w:eastAsia="zh-CN"/>
              </w:rPr>
            </w:pPr>
            <w:r>
              <w:rPr>
                <w:rFonts w:hint="eastAsia" w:ascii="Arial" w:hAnsi="Arial" w:cs="Arial" w:eastAsiaTheme="minorEastAsia"/>
                <w:color w:val="auto"/>
                <w:sz w:val="24"/>
                <w:szCs w:val="24"/>
                <w:lang w:eastAsia="zh-CN"/>
              </w:rPr>
              <w:t>支持应急柴油发电机组15秒内投入应急回路供电的功能</w:t>
            </w:r>
            <w:r>
              <w:rPr>
                <w:rFonts w:hint="eastAsia" w:ascii="Arial" w:hAnsi="Arial" w:cs="Arial"/>
                <w:color w:val="auto"/>
                <w:sz w:val="24"/>
                <w:szCs w:val="24"/>
                <w:lang w:eastAsia="zh-CN"/>
              </w:rPr>
              <w:t>。</w:t>
            </w:r>
          </w:p>
        </w:tc>
        <w:tc>
          <w:tcPr>
            <w:tcW w:w="1138" w:type="pct"/>
            <w:vAlign w:val="center"/>
          </w:tcPr>
          <w:p w14:paraId="7E16D04C">
            <w:pPr>
              <w:jc w:val="both"/>
              <w:rPr>
                <w:rFonts w:hint="default" w:ascii="宋体" w:hAnsi="宋体" w:eastAsia="宋体" w:cs="宋体"/>
                <w:color w:val="auto"/>
                <w:sz w:val="24"/>
                <w:szCs w:val="24"/>
                <w:lang w:val="en-US" w:eastAsia="zh-CN"/>
              </w:rPr>
            </w:pPr>
          </w:p>
        </w:tc>
      </w:tr>
      <w:tr w14:paraId="6C089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405" w:type="pct"/>
            <w:vMerge w:val="restart"/>
            <w:shd w:val="clear" w:color="auto" w:fill="auto"/>
            <w:vAlign w:val="center"/>
          </w:tcPr>
          <w:p w14:paraId="53AF3AB3">
            <w:pPr>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w:t>
            </w:r>
          </w:p>
        </w:tc>
        <w:tc>
          <w:tcPr>
            <w:tcW w:w="551" w:type="pct"/>
            <w:vMerge w:val="restart"/>
            <w:shd w:val="clear" w:color="auto" w:fill="auto"/>
            <w:vAlign w:val="center"/>
          </w:tcPr>
          <w:p w14:paraId="2FD8B570">
            <w:pPr>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硬件要求</w:t>
            </w:r>
          </w:p>
        </w:tc>
        <w:tc>
          <w:tcPr>
            <w:tcW w:w="609" w:type="pct"/>
            <w:vAlign w:val="center"/>
          </w:tcPr>
          <w:p w14:paraId="35A51112">
            <w:pPr>
              <w:rPr>
                <w:rFonts w:hint="eastAsia" w:ascii="宋体" w:hAnsi="宋体" w:eastAsia="宋体" w:cs="宋体"/>
                <w:color w:val="auto"/>
                <w:sz w:val="24"/>
                <w:szCs w:val="24"/>
                <w:lang w:val="en-US" w:eastAsia="zh-CN"/>
              </w:rPr>
            </w:pPr>
            <w:r>
              <w:rPr>
                <w:rFonts w:hint="eastAsia" w:ascii="Arial" w:hAnsi="Arial" w:cs="Arial"/>
                <w:color w:val="auto"/>
                <w:sz w:val="24"/>
                <w:szCs w:val="24"/>
                <w:lang w:eastAsia="zh-CN"/>
              </w:rPr>
              <w:t>控制器</w:t>
            </w:r>
          </w:p>
        </w:tc>
        <w:tc>
          <w:tcPr>
            <w:tcW w:w="2296" w:type="pct"/>
            <w:vAlign w:val="center"/>
          </w:tcPr>
          <w:p w14:paraId="099AFB18">
            <w:pPr>
              <w:rPr>
                <w:rFonts w:hint="eastAsia" w:ascii="Arial" w:hAnsi="Arial" w:cs="Arial" w:eastAsiaTheme="minorEastAsia"/>
                <w:color w:val="auto"/>
                <w:sz w:val="24"/>
                <w:szCs w:val="24"/>
                <w:lang w:eastAsia="zh-CN"/>
              </w:rPr>
            </w:pPr>
            <w:r>
              <w:rPr>
                <w:rFonts w:hint="eastAsia" w:ascii="Arial" w:hAnsi="Arial" w:cs="Arial" w:eastAsiaTheme="minorEastAsia"/>
                <w:color w:val="auto"/>
                <w:sz w:val="24"/>
                <w:szCs w:val="24"/>
                <w:lang w:eastAsia="zh-CN"/>
              </w:rPr>
              <w:t>1）支持柴油机类型（如机械调速/电子调速、单机/并联机组）</w:t>
            </w:r>
            <w:r>
              <w:rPr>
                <w:rFonts w:hint="eastAsia" w:ascii="Arial" w:hAnsi="Arial" w:cs="Arial"/>
                <w:color w:val="auto"/>
                <w:sz w:val="24"/>
                <w:szCs w:val="24"/>
                <w:lang w:eastAsia="zh-CN"/>
              </w:rPr>
              <w:t>；</w:t>
            </w:r>
          </w:p>
          <w:p w14:paraId="37459328">
            <w:pPr>
              <w:rPr>
                <w:rFonts w:hint="eastAsia" w:ascii="Arial" w:hAnsi="Arial" w:cs="Arial" w:eastAsiaTheme="minorEastAsia"/>
                <w:color w:val="auto"/>
                <w:sz w:val="24"/>
                <w:szCs w:val="24"/>
                <w:lang w:eastAsia="zh-CN"/>
              </w:rPr>
            </w:pPr>
            <w:r>
              <w:rPr>
                <w:rFonts w:hint="eastAsia" w:ascii="Arial" w:hAnsi="Arial" w:cs="Arial" w:eastAsiaTheme="minorEastAsia"/>
                <w:color w:val="auto"/>
                <w:sz w:val="24"/>
                <w:szCs w:val="24"/>
                <w:lang w:eastAsia="zh-CN"/>
              </w:rPr>
              <w:t>2）支持电压等级（如400V、6.6kV等）和频率（50Hz/60Hz）</w:t>
            </w:r>
            <w:r>
              <w:rPr>
                <w:rFonts w:hint="eastAsia" w:ascii="Arial" w:hAnsi="Arial" w:cs="Arial"/>
                <w:color w:val="auto"/>
                <w:sz w:val="24"/>
                <w:szCs w:val="24"/>
                <w:lang w:eastAsia="zh-CN"/>
              </w:rPr>
              <w:t>；</w:t>
            </w:r>
          </w:p>
          <w:p w14:paraId="04C08CEB">
            <w:pPr>
              <w:rPr>
                <w:rFonts w:hint="eastAsia" w:ascii="Arial" w:hAnsi="Arial" w:cs="Arial" w:eastAsiaTheme="minorEastAsia"/>
                <w:color w:val="auto"/>
                <w:sz w:val="24"/>
                <w:szCs w:val="24"/>
                <w:lang w:eastAsia="zh-CN"/>
              </w:rPr>
            </w:pPr>
            <w:r>
              <w:rPr>
                <w:rFonts w:hint="eastAsia" w:ascii="Arial" w:hAnsi="Arial" w:cs="Arial" w:eastAsiaTheme="minorEastAsia"/>
                <w:color w:val="auto"/>
                <w:sz w:val="24"/>
                <w:szCs w:val="24"/>
                <w:lang w:eastAsia="zh-CN"/>
              </w:rPr>
              <w:t>3）供电电源范围宽(8-35)VDC，能适应不同的起动电池电压环境</w:t>
            </w:r>
            <w:r>
              <w:rPr>
                <w:rFonts w:hint="eastAsia" w:ascii="Arial" w:hAnsi="Arial" w:cs="Arial"/>
                <w:color w:val="auto"/>
                <w:sz w:val="24"/>
                <w:szCs w:val="24"/>
                <w:lang w:eastAsia="zh-CN"/>
              </w:rPr>
              <w:t>；</w:t>
            </w:r>
          </w:p>
          <w:p w14:paraId="6CDB5ED2">
            <w:pPr>
              <w:rPr>
                <w:rFonts w:hint="eastAsia" w:ascii="Arial" w:hAnsi="Arial" w:cs="Arial" w:eastAsiaTheme="minorEastAsia"/>
                <w:color w:val="auto"/>
                <w:sz w:val="24"/>
                <w:szCs w:val="24"/>
                <w:lang w:eastAsia="zh-CN"/>
              </w:rPr>
            </w:pPr>
            <w:r>
              <w:rPr>
                <w:rFonts w:hint="eastAsia" w:ascii="Arial" w:hAnsi="Arial" w:cs="Arial" w:eastAsiaTheme="minorEastAsia"/>
                <w:color w:val="auto"/>
                <w:sz w:val="24"/>
                <w:szCs w:val="24"/>
                <w:lang w:eastAsia="zh-CN"/>
              </w:rPr>
              <w:t>4）液晶显示LCD为132x64及以上，带背光，两种语言（中文、）显示，轻触按钮操作；</w:t>
            </w:r>
          </w:p>
          <w:p w14:paraId="6D977872">
            <w:pPr>
              <w:rPr>
                <w:rFonts w:hint="eastAsia" w:ascii="宋体" w:hAnsi="宋体" w:eastAsia="宋体" w:cs="宋体"/>
                <w:color w:val="auto"/>
                <w:sz w:val="24"/>
                <w:szCs w:val="24"/>
                <w:lang w:val="en-US" w:eastAsia="zh-CN"/>
              </w:rPr>
            </w:pPr>
            <w:r>
              <w:rPr>
                <w:rFonts w:hint="eastAsia" w:ascii="Arial" w:hAnsi="Arial" w:cs="Arial" w:eastAsiaTheme="minorEastAsia"/>
                <w:color w:val="auto"/>
                <w:sz w:val="24"/>
                <w:szCs w:val="24"/>
                <w:lang w:eastAsia="zh-CN"/>
              </w:rPr>
              <w:t>5）采用硅胶面板及按键，适应环境高低温能力强。</w:t>
            </w:r>
          </w:p>
        </w:tc>
        <w:tc>
          <w:tcPr>
            <w:tcW w:w="1138" w:type="pct"/>
            <w:vAlign w:val="center"/>
          </w:tcPr>
          <w:p w14:paraId="2A1FB1DE">
            <w:pPr>
              <w:jc w:val="center"/>
              <w:rPr>
                <w:rFonts w:hint="eastAsia" w:ascii="宋体" w:hAnsi="宋体" w:eastAsia="宋体" w:cs="宋体"/>
                <w:color w:val="auto"/>
                <w:sz w:val="24"/>
                <w:szCs w:val="24"/>
                <w:lang w:val="en-US" w:eastAsia="zh-CN"/>
              </w:rPr>
            </w:pPr>
          </w:p>
        </w:tc>
      </w:tr>
      <w:tr w14:paraId="6927B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05" w:type="pct"/>
            <w:vMerge w:val="continue"/>
            <w:shd w:val="clear" w:color="auto" w:fill="auto"/>
            <w:vAlign w:val="center"/>
          </w:tcPr>
          <w:p w14:paraId="6E1A9BEA">
            <w:pPr>
              <w:jc w:val="both"/>
              <w:rPr>
                <w:color w:val="auto"/>
              </w:rPr>
            </w:pPr>
          </w:p>
        </w:tc>
        <w:tc>
          <w:tcPr>
            <w:tcW w:w="551" w:type="pct"/>
            <w:vMerge w:val="continue"/>
            <w:shd w:val="clear" w:color="auto" w:fill="auto"/>
            <w:vAlign w:val="center"/>
          </w:tcPr>
          <w:p w14:paraId="730F4B91">
            <w:pPr>
              <w:jc w:val="both"/>
              <w:rPr>
                <w:color w:val="auto"/>
              </w:rPr>
            </w:pPr>
          </w:p>
        </w:tc>
        <w:tc>
          <w:tcPr>
            <w:tcW w:w="609" w:type="pct"/>
            <w:vAlign w:val="center"/>
          </w:tcPr>
          <w:p w14:paraId="693A7330">
            <w:pPr>
              <w:rPr>
                <w:color w:val="auto"/>
              </w:rPr>
            </w:pPr>
            <w:r>
              <w:rPr>
                <w:rFonts w:hint="eastAsia" w:ascii="Arial" w:hAnsi="Arial" w:cs="Arial"/>
                <w:color w:val="auto"/>
                <w:sz w:val="24"/>
                <w:szCs w:val="24"/>
                <w:lang w:eastAsia="zh-CN"/>
              </w:rPr>
              <w:t>布线规范</w:t>
            </w:r>
          </w:p>
        </w:tc>
        <w:tc>
          <w:tcPr>
            <w:tcW w:w="2296" w:type="pct"/>
            <w:vAlign w:val="center"/>
          </w:tcPr>
          <w:p w14:paraId="541788EC">
            <w:pPr>
              <w:rPr>
                <w:rFonts w:hint="eastAsia" w:ascii="Arial" w:hAnsi="Arial" w:cs="Arial" w:eastAsiaTheme="minorEastAsia"/>
                <w:color w:val="auto"/>
                <w:sz w:val="24"/>
                <w:szCs w:val="24"/>
                <w:lang w:eastAsia="zh-CN"/>
              </w:rPr>
            </w:pPr>
            <w:r>
              <w:rPr>
                <w:rFonts w:hint="eastAsia" w:ascii="Arial" w:hAnsi="Arial" w:cs="Arial" w:eastAsiaTheme="minorEastAsia"/>
                <w:color w:val="auto"/>
                <w:sz w:val="24"/>
                <w:szCs w:val="24"/>
                <w:lang w:eastAsia="zh-CN"/>
              </w:rPr>
              <w:t>1）采用屏蔽电缆抗干扰，线缆耐温等级≥105℃</w:t>
            </w:r>
            <w:r>
              <w:rPr>
                <w:rFonts w:hint="eastAsia" w:ascii="Arial" w:hAnsi="Arial" w:cs="Arial"/>
                <w:color w:val="auto"/>
                <w:sz w:val="24"/>
                <w:szCs w:val="24"/>
                <w:lang w:eastAsia="zh-CN"/>
              </w:rPr>
              <w:t>；</w:t>
            </w:r>
          </w:p>
          <w:p w14:paraId="2DF701CA">
            <w:pPr>
              <w:rPr>
                <w:color w:val="auto"/>
              </w:rPr>
            </w:pPr>
            <w:r>
              <w:rPr>
                <w:rFonts w:hint="eastAsia" w:ascii="Arial" w:hAnsi="Arial" w:cs="Arial" w:eastAsiaTheme="minorEastAsia"/>
                <w:color w:val="auto"/>
                <w:sz w:val="24"/>
                <w:szCs w:val="24"/>
                <w:lang w:eastAsia="zh-CN"/>
              </w:rPr>
              <w:t>2）强电与弱电线路分离，接地电阻≤4Ω。</w:t>
            </w:r>
          </w:p>
        </w:tc>
        <w:tc>
          <w:tcPr>
            <w:tcW w:w="1138" w:type="pct"/>
            <w:vAlign w:val="center"/>
          </w:tcPr>
          <w:p w14:paraId="11E9B726">
            <w:pPr>
              <w:jc w:val="both"/>
              <w:rPr>
                <w:color w:val="auto"/>
              </w:rPr>
            </w:pPr>
          </w:p>
        </w:tc>
      </w:tr>
      <w:tr w14:paraId="7FC6A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05" w:type="pct"/>
            <w:vMerge w:val="continue"/>
            <w:shd w:val="clear" w:color="auto" w:fill="auto"/>
            <w:vAlign w:val="center"/>
          </w:tcPr>
          <w:p w14:paraId="21A51885">
            <w:pPr>
              <w:jc w:val="both"/>
              <w:rPr>
                <w:color w:val="auto"/>
              </w:rPr>
            </w:pPr>
          </w:p>
        </w:tc>
        <w:tc>
          <w:tcPr>
            <w:tcW w:w="551" w:type="pct"/>
            <w:vMerge w:val="continue"/>
            <w:shd w:val="clear" w:color="auto" w:fill="auto"/>
            <w:vAlign w:val="center"/>
          </w:tcPr>
          <w:p w14:paraId="295B3CEE">
            <w:pPr>
              <w:jc w:val="both"/>
              <w:rPr>
                <w:color w:val="auto"/>
              </w:rPr>
            </w:pPr>
          </w:p>
        </w:tc>
        <w:tc>
          <w:tcPr>
            <w:tcW w:w="609" w:type="pct"/>
            <w:vAlign w:val="center"/>
          </w:tcPr>
          <w:p w14:paraId="12FE967A">
            <w:pPr>
              <w:rPr>
                <w:rFonts w:hint="eastAsia" w:ascii="Arial" w:hAnsi="Arial" w:cs="Arial"/>
                <w:color w:val="auto"/>
                <w:sz w:val="24"/>
                <w:szCs w:val="24"/>
                <w:lang w:eastAsia="zh-CN"/>
              </w:rPr>
            </w:pPr>
            <w:r>
              <w:rPr>
                <w:rFonts w:hint="eastAsia" w:ascii="Arial" w:hAnsi="Arial" w:cs="Arial"/>
                <w:color w:val="auto"/>
                <w:sz w:val="24"/>
                <w:szCs w:val="24"/>
                <w:lang w:eastAsia="zh-CN"/>
              </w:rPr>
              <w:t>控制器采用金属卡件固定</w:t>
            </w:r>
          </w:p>
        </w:tc>
        <w:tc>
          <w:tcPr>
            <w:tcW w:w="2296" w:type="pct"/>
            <w:vAlign w:val="center"/>
          </w:tcPr>
          <w:p w14:paraId="55FB4BD6">
            <w:pPr>
              <w:rPr>
                <w:rFonts w:hint="eastAsia" w:ascii="Arial" w:hAnsi="Arial" w:cs="Arial" w:eastAsiaTheme="minorEastAsia"/>
                <w:color w:val="auto"/>
                <w:sz w:val="24"/>
                <w:szCs w:val="24"/>
                <w:lang w:eastAsia="zh-CN"/>
              </w:rPr>
            </w:pPr>
            <w:r>
              <w:rPr>
                <w:rFonts w:hint="eastAsia" w:ascii="Arial" w:hAnsi="Arial" w:cs="Arial" w:eastAsiaTheme="minorEastAsia"/>
                <w:color w:val="auto"/>
                <w:sz w:val="24"/>
                <w:szCs w:val="24"/>
                <w:lang w:eastAsia="zh-CN"/>
              </w:rPr>
              <w:t>模块化结构设计，阻燃ABS外壳，可插拔式接线端子，嵌入式安装方式，结构紧凑，安装方便</w:t>
            </w:r>
            <w:r>
              <w:rPr>
                <w:rFonts w:hint="eastAsia" w:ascii="Arial" w:hAnsi="Arial" w:cs="Arial"/>
                <w:color w:val="auto"/>
                <w:sz w:val="24"/>
                <w:szCs w:val="24"/>
                <w:lang w:eastAsia="zh-CN"/>
              </w:rPr>
              <w:t>。</w:t>
            </w:r>
          </w:p>
        </w:tc>
        <w:tc>
          <w:tcPr>
            <w:tcW w:w="1138" w:type="pct"/>
            <w:vAlign w:val="center"/>
          </w:tcPr>
          <w:p w14:paraId="3C8A669E">
            <w:pPr>
              <w:jc w:val="both"/>
              <w:rPr>
                <w:color w:val="auto"/>
              </w:rPr>
            </w:pPr>
          </w:p>
        </w:tc>
      </w:tr>
      <w:tr w14:paraId="107E3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405" w:type="pct"/>
            <w:vMerge w:val="restart"/>
            <w:shd w:val="clear" w:color="auto" w:fill="auto"/>
            <w:vAlign w:val="center"/>
          </w:tcPr>
          <w:p w14:paraId="5F2A6DD6">
            <w:pPr>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w:t>
            </w:r>
          </w:p>
        </w:tc>
        <w:tc>
          <w:tcPr>
            <w:tcW w:w="551" w:type="pct"/>
            <w:vMerge w:val="restart"/>
            <w:shd w:val="clear" w:color="auto" w:fill="auto"/>
            <w:vAlign w:val="center"/>
          </w:tcPr>
          <w:p w14:paraId="33970646">
            <w:pPr>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软件功能标准</w:t>
            </w:r>
          </w:p>
        </w:tc>
        <w:tc>
          <w:tcPr>
            <w:tcW w:w="609" w:type="pct"/>
            <w:vAlign w:val="center"/>
          </w:tcPr>
          <w:p w14:paraId="365E68CF">
            <w:pPr>
              <w:rPr>
                <w:rFonts w:hint="eastAsia" w:ascii="宋体" w:hAnsi="宋体" w:eastAsia="宋体" w:cs="宋体"/>
                <w:color w:val="auto"/>
                <w:sz w:val="24"/>
                <w:szCs w:val="24"/>
                <w:lang w:val="en-US" w:eastAsia="zh-CN"/>
              </w:rPr>
            </w:pPr>
            <w:r>
              <w:rPr>
                <w:rFonts w:hint="eastAsia" w:ascii="Arial" w:hAnsi="Arial" w:cs="Arial" w:eastAsiaTheme="minorEastAsia"/>
                <w:color w:val="auto"/>
                <w:sz w:val="24"/>
                <w:szCs w:val="24"/>
                <w:lang w:eastAsia="zh-CN"/>
              </w:rPr>
              <w:t>核心控制功能</w:t>
            </w:r>
          </w:p>
        </w:tc>
        <w:tc>
          <w:tcPr>
            <w:tcW w:w="2296" w:type="pct"/>
            <w:vAlign w:val="center"/>
          </w:tcPr>
          <w:p w14:paraId="498D7322">
            <w:pPr>
              <w:rPr>
                <w:rFonts w:hint="eastAsia" w:ascii="Arial" w:hAnsi="Arial" w:cs="Arial" w:eastAsiaTheme="minorEastAsia"/>
                <w:color w:val="auto"/>
                <w:sz w:val="24"/>
                <w:szCs w:val="24"/>
                <w:lang w:eastAsia="zh-CN"/>
              </w:rPr>
            </w:pPr>
            <w:r>
              <w:rPr>
                <w:rFonts w:hint="eastAsia" w:ascii="Arial" w:hAnsi="Arial" w:cs="Arial" w:eastAsiaTheme="minorEastAsia"/>
                <w:color w:val="auto"/>
                <w:sz w:val="24"/>
                <w:szCs w:val="24"/>
                <w:lang w:eastAsia="zh-CN"/>
              </w:rPr>
              <w:t>1）自动启停（支持远程/就地控制）、负载分配（并联机组）、同步并网</w:t>
            </w:r>
            <w:r>
              <w:rPr>
                <w:rFonts w:hint="eastAsia" w:ascii="Arial" w:hAnsi="Arial" w:cs="Arial"/>
                <w:color w:val="auto"/>
                <w:sz w:val="24"/>
                <w:szCs w:val="24"/>
                <w:lang w:eastAsia="zh-CN"/>
              </w:rPr>
              <w:t>；</w:t>
            </w:r>
          </w:p>
          <w:p w14:paraId="6EA0F77F">
            <w:pPr>
              <w:rPr>
                <w:rFonts w:hint="eastAsia" w:ascii="宋体" w:hAnsi="宋体" w:eastAsia="宋体" w:cs="宋体"/>
                <w:color w:val="auto"/>
                <w:sz w:val="24"/>
                <w:szCs w:val="24"/>
                <w:lang w:val="en-US" w:eastAsia="zh-CN"/>
              </w:rPr>
            </w:pPr>
            <w:r>
              <w:rPr>
                <w:rFonts w:hint="eastAsia" w:ascii="Arial" w:hAnsi="Arial" w:cs="Arial" w:eastAsiaTheme="minorEastAsia"/>
                <w:color w:val="auto"/>
                <w:sz w:val="24"/>
                <w:szCs w:val="24"/>
                <w:lang w:eastAsia="zh-CN"/>
              </w:rPr>
              <w:t>2）实时监测参数（电压、电流、频率、功率、油压、水温、转速、蓄电池充电电压等）。</w:t>
            </w:r>
          </w:p>
        </w:tc>
        <w:tc>
          <w:tcPr>
            <w:tcW w:w="1138" w:type="pct"/>
            <w:vAlign w:val="center"/>
          </w:tcPr>
          <w:p w14:paraId="61F53082">
            <w:pPr>
              <w:jc w:val="center"/>
              <w:rPr>
                <w:rFonts w:hint="eastAsia" w:ascii="宋体" w:hAnsi="宋体" w:eastAsia="宋体" w:cs="宋体"/>
                <w:color w:val="auto"/>
                <w:sz w:val="24"/>
                <w:szCs w:val="24"/>
                <w:lang w:val="en-US" w:eastAsia="zh-CN"/>
              </w:rPr>
            </w:pPr>
          </w:p>
        </w:tc>
      </w:tr>
      <w:tr w14:paraId="251C7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405" w:type="pct"/>
            <w:vMerge w:val="continue"/>
            <w:shd w:val="clear" w:color="auto" w:fill="auto"/>
            <w:vAlign w:val="center"/>
          </w:tcPr>
          <w:p w14:paraId="5DE8EF03">
            <w:pPr>
              <w:jc w:val="both"/>
              <w:rPr>
                <w:color w:val="auto"/>
              </w:rPr>
            </w:pPr>
          </w:p>
        </w:tc>
        <w:tc>
          <w:tcPr>
            <w:tcW w:w="551" w:type="pct"/>
            <w:vMerge w:val="continue"/>
            <w:shd w:val="clear" w:color="auto" w:fill="auto"/>
            <w:vAlign w:val="center"/>
          </w:tcPr>
          <w:p w14:paraId="2243D705">
            <w:pPr>
              <w:jc w:val="both"/>
              <w:rPr>
                <w:color w:val="auto"/>
              </w:rPr>
            </w:pPr>
          </w:p>
        </w:tc>
        <w:tc>
          <w:tcPr>
            <w:tcW w:w="609" w:type="pct"/>
            <w:vAlign w:val="center"/>
          </w:tcPr>
          <w:p w14:paraId="76A75E28">
            <w:pPr>
              <w:rPr>
                <w:color w:val="auto"/>
              </w:rPr>
            </w:pPr>
            <w:r>
              <w:rPr>
                <w:rFonts w:hint="eastAsia" w:ascii="Arial" w:hAnsi="Arial" w:cs="Arial" w:eastAsiaTheme="minorEastAsia"/>
                <w:color w:val="auto"/>
                <w:sz w:val="24"/>
                <w:szCs w:val="24"/>
                <w:lang w:eastAsia="zh-CN"/>
              </w:rPr>
              <w:t>保护功能</w:t>
            </w:r>
          </w:p>
        </w:tc>
        <w:tc>
          <w:tcPr>
            <w:tcW w:w="2296" w:type="pct"/>
            <w:vAlign w:val="center"/>
          </w:tcPr>
          <w:p w14:paraId="5261401D">
            <w:pPr>
              <w:rPr>
                <w:rFonts w:hint="eastAsia" w:ascii="Arial" w:hAnsi="Arial" w:cs="Arial" w:eastAsiaTheme="minorEastAsia"/>
                <w:color w:val="auto"/>
                <w:sz w:val="24"/>
                <w:szCs w:val="24"/>
                <w:lang w:eastAsia="zh-CN"/>
              </w:rPr>
            </w:pPr>
            <w:r>
              <w:rPr>
                <w:rFonts w:hint="eastAsia" w:ascii="Arial" w:hAnsi="Arial" w:cs="Arial" w:eastAsiaTheme="minorEastAsia"/>
                <w:color w:val="auto"/>
                <w:sz w:val="24"/>
                <w:szCs w:val="24"/>
                <w:lang w:eastAsia="zh-CN"/>
              </w:rPr>
              <w:t>1）故障报警及记录（历史数据存储≥1000条）</w:t>
            </w:r>
            <w:r>
              <w:rPr>
                <w:rFonts w:hint="eastAsia" w:ascii="Arial" w:hAnsi="Arial" w:cs="Arial"/>
                <w:color w:val="auto"/>
                <w:sz w:val="24"/>
                <w:szCs w:val="24"/>
                <w:lang w:eastAsia="zh-CN"/>
              </w:rPr>
              <w:t>；</w:t>
            </w:r>
          </w:p>
          <w:p w14:paraId="531F632F">
            <w:pPr>
              <w:rPr>
                <w:color w:val="auto"/>
              </w:rPr>
            </w:pPr>
            <w:r>
              <w:rPr>
                <w:rFonts w:hint="eastAsia" w:ascii="Arial" w:hAnsi="Arial" w:cs="Arial" w:eastAsiaTheme="minorEastAsia"/>
                <w:color w:val="auto"/>
                <w:sz w:val="24"/>
                <w:szCs w:val="24"/>
                <w:lang w:eastAsia="zh-CN"/>
              </w:rPr>
              <w:t>2）紧急停机保护（超速≥110%额定转速时触发）。</w:t>
            </w:r>
          </w:p>
        </w:tc>
        <w:tc>
          <w:tcPr>
            <w:tcW w:w="1138" w:type="pct"/>
            <w:vAlign w:val="center"/>
          </w:tcPr>
          <w:p w14:paraId="24FCAEF3">
            <w:pPr>
              <w:jc w:val="both"/>
              <w:rPr>
                <w:color w:val="auto"/>
              </w:rPr>
            </w:pPr>
          </w:p>
        </w:tc>
      </w:tr>
      <w:tr w14:paraId="1B87E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405" w:type="pct"/>
            <w:vMerge w:val="continue"/>
            <w:shd w:val="clear" w:color="auto" w:fill="auto"/>
            <w:vAlign w:val="center"/>
          </w:tcPr>
          <w:p w14:paraId="6BC6719A">
            <w:pPr>
              <w:jc w:val="both"/>
              <w:rPr>
                <w:color w:val="auto"/>
              </w:rPr>
            </w:pPr>
          </w:p>
        </w:tc>
        <w:tc>
          <w:tcPr>
            <w:tcW w:w="551" w:type="pct"/>
            <w:vMerge w:val="continue"/>
            <w:shd w:val="clear" w:color="auto" w:fill="auto"/>
            <w:vAlign w:val="center"/>
          </w:tcPr>
          <w:p w14:paraId="7F19805D">
            <w:pPr>
              <w:jc w:val="both"/>
              <w:rPr>
                <w:color w:val="auto"/>
              </w:rPr>
            </w:pPr>
          </w:p>
        </w:tc>
        <w:tc>
          <w:tcPr>
            <w:tcW w:w="609" w:type="pct"/>
            <w:vAlign w:val="center"/>
          </w:tcPr>
          <w:p w14:paraId="7FED1AA0">
            <w:pPr>
              <w:rPr>
                <w:color w:val="auto"/>
              </w:rPr>
            </w:pPr>
            <w:r>
              <w:rPr>
                <w:rFonts w:hint="eastAsia" w:ascii="Arial" w:hAnsi="Arial" w:cs="Arial" w:eastAsiaTheme="minorEastAsia"/>
                <w:color w:val="auto"/>
                <w:sz w:val="24"/>
                <w:szCs w:val="24"/>
                <w:lang w:eastAsia="zh-CN"/>
              </w:rPr>
              <w:t>通信与接口</w:t>
            </w:r>
          </w:p>
        </w:tc>
        <w:tc>
          <w:tcPr>
            <w:tcW w:w="2296" w:type="pct"/>
            <w:vAlign w:val="center"/>
          </w:tcPr>
          <w:p w14:paraId="03A46F66">
            <w:pPr>
              <w:rPr>
                <w:rFonts w:hint="eastAsia" w:ascii="Arial" w:hAnsi="Arial" w:cs="Arial" w:eastAsiaTheme="minorEastAsia"/>
                <w:color w:val="auto"/>
                <w:sz w:val="24"/>
                <w:szCs w:val="24"/>
                <w:lang w:eastAsia="zh-CN"/>
              </w:rPr>
            </w:pPr>
            <w:r>
              <w:rPr>
                <w:rFonts w:hint="eastAsia" w:ascii="Arial" w:hAnsi="Arial" w:cs="Arial" w:eastAsiaTheme="minorEastAsia"/>
                <w:color w:val="auto"/>
                <w:sz w:val="24"/>
                <w:szCs w:val="24"/>
                <w:lang w:eastAsia="zh-CN"/>
              </w:rPr>
              <w:t>1）支持Modbus RTU/TCP、CAN总线、Profibus等协议</w:t>
            </w:r>
            <w:r>
              <w:rPr>
                <w:rFonts w:hint="eastAsia" w:ascii="Arial" w:hAnsi="Arial" w:cs="Arial"/>
                <w:color w:val="auto"/>
                <w:sz w:val="24"/>
                <w:szCs w:val="24"/>
                <w:lang w:eastAsia="zh-CN"/>
              </w:rPr>
              <w:t>；</w:t>
            </w:r>
          </w:p>
          <w:p w14:paraId="4CE2B37A">
            <w:pPr>
              <w:rPr>
                <w:color w:val="auto"/>
              </w:rPr>
            </w:pPr>
            <w:r>
              <w:rPr>
                <w:rFonts w:hint="eastAsia" w:ascii="Arial" w:hAnsi="Arial" w:cs="Arial" w:eastAsiaTheme="minorEastAsia"/>
                <w:color w:val="auto"/>
                <w:sz w:val="24"/>
                <w:szCs w:val="24"/>
                <w:lang w:eastAsia="zh-CN"/>
              </w:rPr>
              <w:t>2）预留RS485/以太网接口，支持远程监控（SCADA系统集成）。</w:t>
            </w:r>
          </w:p>
        </w:tc>
        <w:tc>
          <w:tcPr>
            <w:tcW w:w="1138" w:type="pct"/>
            <w:vAlign w:val="center"/>
          </w:tcPr>
          <w:p w14:paraId="1F68418D">
            <w:pPr>
              <w:jc w:val="both"/>
              <w:rPr>
                <w:color w:val="auto"/>
              </w:rPr>
            </w:pPr>
          </w:p>
        </w:tc>
      </w:tr>
      <w:tr w14:paraId="2CB5D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05" w:type="pct"/>
            <w:vMerge w:val="restart"/>
            <w:shd w:val="clear" w:color="auto" w:fill="auto"/>
            <w:vAlign w:val="center"/>
          </w:tcPr>
          <w:p w14:paraId="7F60BC7A">
            <w:pPr>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w:t>
            </w:r>
          </w:p>
        </w:tc>
        <w:tc>
          <w:tcPr>
            <w:tcW w:w="551" w:type="pct"/>
            <w:vMerge w:val="restart"/>
            <w:shd w:val="clear" w:color="auto" w:fill="auto"/>
            <w:vAlign w:val="center"/>
          </w:tcPr>
          <w:p w14:paraId="2DC80820">
            <w:pPr>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性能指标</w:t>
            </w:r>
          </w:p>
        </w:tc>
        <w:tc>
          <w:tcPr>
            <w:tcW w:w="609" w:type="pct"/>
            <w:vAlign w:val="center"/>
          </w:tcPr>
          <w:p w14:paraId="378F8E89">
            <w:pPr>
              <w:rPr>
                <w:rFonts w:hint="eastAsia" w:ascii="宋体" w:hAnsi="宋体" w:eastAsia="宋体" w:cs="宋体"/>
                <w:color w:val="auto"/>
                <w:sz w:val="24"/>
                <w:szCs w:val="24"/>
                <w:lang w:val="en-US" w:eastAsia="zh-CN"/>
              </w:rPr>
            </w:pPr>
            <w:r>
              <w:rPr>
                <w:rFonts w:hint="eastAsia" w:ascii="Arial" w:hAnsi="Arial" w:cs="Arial" w:eastAsiaTheme="minorEastAsia"/>
                <w:color w:val="auto"/>
                <w:sz w:val="24"/>
                <w:szCs w:val="24"/>
                <w:lang w:eastAsia="zh-CN"/>
              </w:rPr>
              <w:t>稳态电压调整率</w:t>
            </w:r>
          </w:p>
        </w:tc>
        <w:tc>
          <w:tcPr>
            <w:tcW w:w="2296" w:type="pct"/>
            <w:vAlign w:val="center"/>
          </w:tcPr>
          <w:p w14:paraId="60B8D1BE">
            <w:pPr>
              <w:rPr>
                <w:rFonts w:hint="eastAsia" w:ascii="宋体" w:hAnsi="宋体" w:eastAsia="宋体" w:cs="宋体"/>
                <w:color w:val="auto"/>
                <w:sz w:val="24"/>
                <w:szCs w:val="24"/>
                <w:lang w:val="en-US" w:eastAsia="zh-CN"/>
              </w:rPr>
            </w:pPr>
            <w:r>
              <w:rPr>
                <w:rFonts w:hint="eastAsia" w:ascii="Arial" w:hAnsi="Arial" w:cs="Arial" w:eastAsiaTheme="minorEastAsia"/>
                <w:color w:val="auto"/>
                <w:sz w:val="24"/>
                <w:szCs w:val="24"/>
                <w:lang w:eastAsia="zh-CN"/>
              </w:rPr>
              <w:t>≤±1%（突加负载时瞬态调整率≤±5%）</w:t>
            </w:r>
          </w:p>
        </w:tc>
        <w:tc>
          <w:tcPr>
            <w:tcW w:w="1138" w:type="pct"/>
            <w:vAlign w:val="center"/>
          </w:tcPr>
          <w:p w14:paraId="104EE4FA">
            <w:pPr>
              <w:jc w:val="center"/>
              <w:rPr>
                <w:rFonts w:hint="eastAsia" w:ascii="宋体" w:hAnsi="宋体" w:eastAsia="宋体" w:cs="宋体"/>
                <w:color w:val="auto"/>
                <w:sz w:val="24"/>
                <w:szCs w:val="24"/>
                <w:lang w:val="en-US" w:eastAsia="zh-CN"/>
              </w:rPr>
            </w:pPr>
          </w:p>
        </w:tc>
      </w:tr>
      <w:tr w14:paraId="73DD9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05" w:type="pct"/>
            <w:vMerge w:val="continue"/>
            <w:shd w:val="clear" w:color="auto" w:fill="auto"/>
            <w:vAlign w:val="center"/>
          </w:tcPr>
          <w:p w14:paraId="454E6344">
            <w:pPr>
              <w:jc w:val="both"/>
              <w:rPr>
                <w:color w:val="auto"/>
              </w:rPr>
            </w:pPr>
          </w:p>
        </w:tc>
        <w:tc>
          <w:tcPr>
            <w:tcW w:w="551" w:type="pct"/>
            <w:vMerge w:val="continue"/>
            <w:shd w:val="clear" w:color="auto" w:fill="auto"/>
            <w:vAlign w:val="center"/>
          </w:tcPr>
          <w:p w14:paraId="19EA2396">
            <w:pPr>
              <w:jc w:val="both"/>
              <w:rPr>
                <w:color w:val="auto"/>
              </w:rPr>
            </w:pPr>
          </w:p>
        </w:tc>
        <w:tc>
          <w:tcPr>
            <w:tcW w:w="609" w:type="pct"/>
            <w:vAlign w:val="center"/>
          </w:tcPr>
          <w:p w14:paraId="78285DB3">
            <w:pPr>
              <w:rPr>
                <w:color w:val="auto"/>
              </w:rPr>
            </w:pPr>
            <w:r>
              <w:rPr>
                <w:rFonts w:hint="eastAsia" w:ascii="Arial" w:hAnsi="Arial" w:cs="Arial" w:eastAsiaTheme="minorEastAsia"/>
                <w:color w:val="auto"/>
                <w:sz w:val="24"/>
                <w:szCs w:val="24"/>
                <w:lang w:eastAsia="zh-CN"/>
              </w:rPr>
              <w:t>频率稳定性</w:t>
            </w:r>
          </w:p>
        </w:tc>
        <w:tc>
          <w:tcPr>
            <w:tcW w:w="2296" w:type="pct"/>
            <w:vAlign w:val="center"/>
          </w:tcPr>
          <w:p w14:paraId="5DD85137">
            <w:pPr>
              <w:rPr>
                <w:color w:val="auto"/>
              </w:rPr>
            </w:pPr>
            <w:r>
              <w:rPr>
                <w:rFonts w:hint="eastAsia" w:ascii="Arial" w:hAnsi="Arial" w:cs="Arial" w:eastAsiaTheme="minorEastAsia"/>
                <w:color w:val="auto"/>
                <w:sz w:val="24"/>
                <w:szCs w:val="24"/>
                <w:lang w:eastAsia="zh-CN"/>
              </w:rPr>
              <w:t>≤±0.5%（额定负载下）</w:t>
            </w:r>
          </w:p>
        </w:tc>
        <w:tc>
          <w:tcPr>
            <w:tcW w:w="1138" w:type="pct"/>
            <w:vAlign w:val="center"/>
          </w:tcPr>
          <w:p w14:paraId="6946D386">
            <w:pPr>
              <w:jc w:val="both"/>
              <w:rPr>
                <w:color w:val="auto"/>
              </w:rPr>
            </w:pPr>
          </w:p>
        </w:tc>
      </w:tr>
      <w:tr w14:paraId="0A5B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05" w:type="pct"/>
            <w:vMerge w:val="continue"/>
            <w:shd w:val="clear" w:color="auto" w:fill="auto"/>
            <w:vAlign w:val="center"/>
          </w:tcPr>
          <w:p w14:paraId="3DB81BC3">
            <w:pPr>
              <w:jc w:val="both"/>
              <w:rPr>
                <w:color w:val="auto"/>
              </w:rPr>
            </w:pPr>
          </w:p>
        </w:tc>
        <w:tc>
          <w:tcPr>
            <w:tcW w:w="551" w:type="pct"/>
            <w:vMerge w:val="continue"/>
            <w:shd w:val="clear" w:color="auto" w:fill="auto"/>
            <w:vAlign w:val="center"/>
          </w:tcPr>
          <w:p w14:paraId="7763D8AC">
            <w:pPr>
              <w:jc w:val="both"/>
              <w:rPr>
                <w:color w:val="auto"/>
              </w:rPr>
            </w:pPr>
          </w:p>
        </w:tc>
        <w:tc>
          <w:tcPr>
            <w:tcW w:w="609" w:type="pct"/>
            <w:vAlign w:val="center"/>
          </w:tcPr>
          <w:p w14:paraId="25D8134B">
            <w:pPr>
              <w:rPr>
                <w:color w:val="auto"/>
              </w:rPr>
            </w:pPr>
            <w:r>
              <w:rPr>
                <w:rFonts w:hint="eastAsia" w:ascii="Arial" w:hAnsi="Arial" w:cs="Arial" w:eastAsiaTheme="minorEastAsia"/>
                <w:color w:val="auto"/>
                <w:sz w:val="24"/>
                <w:szCs w:val="24"/>
                <w:lang w:eastAsia="zh-CN"/>
              </w:rPr>
              <w:t>响应时间</w:t>
            </w:r>
          </w:p>
        </w:tc>
        <w:tc>
          <w:tcPr>
            <w:tcW w:w="2296" w:type="pct"/>
            <w:vAlign w:val="center"/>
          </w:tcPr>
          <w:p w14:paraId="6A8AFBCC">
            <w:pPr>
              <w:rPr>
                <w:color w:val="auto"/>
              </w:rPr>
            </w:pPr>
            <w:r>
              <w:rPr>
                <w:rFonts w:hint="eastAsia" w:ascii="Arial" w:hAnsi="Arial" w:cs="Arial" w:eastAsiaTheme="minorEastAsia"/>
                <w:color w:val="auto"/>
                <w:sz w:val="24"/>
                <w:szCs w:val="24"/>
                <w:lang w:val="en-US" w:eastAsia="zh-CN"/>
              </w:rPr>
              <w:t>从故障触发到保护动作≤0.5秒</w:t>
            </w:r>
          </w:p>
        </w:tc>
        <w:tc>
          <w:tcPr>
            <w:tcW w:w="1138" w:type="pct"/>
            <w:vAlign w:val="center"/>
          </w:tcPr>
          <w:p w14:paraId="25273595">
            <w:pPr>
              <w:jc w:val="both"/>
              <w:rPr>
                <w:color w:val="auto"/>
              </w:rPr>
            </w:pPr>
          </w:p>
        </w:tc>
      </w:tr>
      <w:tr w14:paraId="14ABC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405" w:type="pct"/>
            <w:vMerge w:val="restart"/>
            <w:shd w:val="clear" w:color="auto" w:fill="auto"/>
            <w:vAlign w:val="center"/>
          </w:tcPr>
          <w:p w14:paraId="7B7839CA">
            <w:pPr>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w:t>
            </w:r>
          </w:p>
        </w:tc>
        <w:tc>
          <w:tcPr>
            <w:tcW w:w="551" w:type="pct"/>
            <w:vMerge w:val="restart"/>
            <w:shd w:val="clear" w:color="auto" w:fill="auto"/>
            <w:vAlign w:val="center"/>
          </w:tcPr>
          <w:p w14:paraId="6140F442">
            <w:pPr>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环境适应性要求</w:t>
            </w:r>
          </w:p>
        </w:tc>
        <w:tc>
          <w:tcPr>
            <w:tcW w:w="609" w:type="pct"/>
            <w:vAlign w:val="center"/>
          </w:tcPr>
          <w:p w14:paraId="64FF14C0">
            <w:pPr>
              <w:rPr>
                <w:rFonts w:hint="eastAsia" w:ascii="宋体" w:hAnsi="宋体" w:eastAsia="宋体" w:cs="宋体"/>
                <w:color w:val="auto"/>
                <w:sz w:val="24"/>
                <w:szCs w:val="24"/>
                <w:lang w:val="en-US" w:eastAsia="zh-CN"/>
              </w:rPr>
            </w:pPr>
            <w:r>
              <w:rPr>
                <w:rFonts w:hint="eastAsia" w:ascii="Arial" w:hAnsi="Arial" w:cs="Arial" w:eastAsiaTheme="minorEastAsia"/>
                <w:color w:val="auto"/>
                <w:sz w:val="24"/>
                <w:szCs w:val="24"/>
                <w:lang w:eastAsia="zh-CN"/>
              </w:rPr>
              <w:t>工作温度</w:t>
            </w:r>
          </w:p>
        </w:tc>
        <w:tc>
          <w:tcPr>
            <w:tcW w:w="2296" w:type="pct"/>
            <w:vAlign w:val="center"/>
          </w:tcPr>
          <w:p w14:paraId="7D69EC59">
            <w:pPr>
              <w:rPr>
                <w:rFonts w:hint="eastAsia" w:ascii="宋体" w:hAnsi="宋体" w:eastAsia="宋体" w:cs="宋体"/>
                <w:color w:val="auto"/>
                <w:sz w:val="24"/>
                <w:szCs w:val="24"/>
                <w:lang w:val="en-US" w:eastAsia="zh-CN"/>
              </w:rPr>
            </w:pPr>
            <w:r>
              <w:rPr>
                <w:rFonts w:hint="eastAsia" w:ascii="Arial" w:hAnsi="Arial" w:cs="Arial" w:eastAsiaTheme="minorEastAsia"/>
                <w:color w:val="auto"/>
                <w:sz w:val="24"/>
                <w:szCs w:val="24"/>
                <w:lang w:eastAsia="zh-CN"/>
              </w:rPr>
              <w:t>-30℃～+70℃（带加热/散热装置）</w:t>
            </w:r>
          </w:p>
        </w:tc>
        <w:tc>
          <w:tcPr>
            <w:tcW w:w="1138" w:type="pct"/>
            <w:vAlign w:val="center"/>
          </w:tcPr>
          <w:p w14:paraId="118FF659">
            <w:pPr>
              <w:jc w:val="center"/>
              <w:rPr>
                <w:rFonts w:hint="eastAsia" w:ascii="宋体" w:hAnsi="宋体" w:eastAsia="宋体" w:cs="宋体"/>
                <w:color w:val="auto"/>
                <w:sz w:val="24"/>
                <w:szCs w:val="24"/>
                <w:lang w:val="en-US" w:eastAsia="zh-CN"/>
              </w:rPr>
            </w:pPr>
          </w:p>
        </w:tc>
      </w:tr>
      <w:tr w14:paraId="11D28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05" w:type="pct"/>
            <w:vMerge w:val="continue"/>
            <w:shd w:val="clear" w:color="auto" w:fill="auto"/>
            <w:vAlign w:val="center"/>
          </w:tcPr>
          <w:p w14:paraId="25D69DC3">
            <w:pPr>
              <w:jc w:val="both"/>
              <w:rPr>
                <w:color w:val="auto"/>
              </w:rPr>
            </w:pPr>
          </w:p>
        </w:tc>
        <w:tc>
          <w:tcPr>
            <w:tcW w:w="551" w:type="pct"/>
            <w:vMerge w:val="continue"/>
            <w:shd w:val="clear" w:color="auto" w:fill="auto"/>
            <w:vAlign w:val="center"/>
          </w:tcPr>
          <w:p w14:paraId="0108AAC8">
            <w:pPr>
              <w:jc w:val="both"/>
              <w:rPr>
                <w:color w:val="auto"/>
              </w:rPr>
            </w:pPr>
          </w:p>
        </w:tc>
        <w:tc>
          <w:tcPr>
            <w:tcW w:w="609" w:type="pct"/>
            <w:vAlign w:val="center"/>
          </w:tcPr>
          <w:p w14:paraId="2A54EB7F">
            <w:pPr>
              <w:rPr>
                <w:color w:val="auto"/>
              </w:rPr>
            </w:pPr>
            <w:r>
              <w:rPr>
                <w:rFonts w:hint="eastAsia" w:ascii="Arial" w:hAnsi="Arial" w:cs="Arial" w:eastAsiaTheme="minorEastAsia"/>
                <w:color w:val="auto"/>
                <w:sz w:val="24"/>
                <w:szCs w:val="24"/>
                <w:lang w:eastAsia="zh-CN"/>
              </w:rPr>
              <w:t>湿度</w:t>
            </w:r>
          </w:p>
        </w:tc>
        <w:tc>
          <w:tcPr>
            <w:tcW w:w="2296" w:type="pct"/>
            <w:vAlign w:val="center"/>
          </w:tcPr>
          <w:p w14:paraId="72C32E2C">
            <w:pPr>
              <w:rPr>
                <w:color w:val="auto"/>
              </w:rPr>
            </w:pPr>
            <w:r>
              <w:rPr>
                <w:rFonts w:hint="eastAsia" w:ascii="Arial" w:hAnsi="Arial" w:cs="Arial" w:eastAsiaTheme="minorEastAsia"/>
                <w:color w:val="auto"/>
                <w:sz w:val="24"/>
                <w:szCs w:val="24"/>
                <w:lang w:eastAsia="zh-CN"/>
              </w:rPr>
              <w:t>≤95%（无凝露）</w:t>
            </w:r>
          </w:p>
        </w:tc>
        <w:tc>
          <w:tcPr>
            <w:tcW w:w="1138" w:type="pct"/>
            <w:vAlign w:val="center"/>
          </w:tcPr>
          <w:p w14:paraId="0FD02BE7">
            <w:pPr>
              <w:jc w:val="both"/>
              <w:rPr>
                <w:color w:val="auto"/>
              </w:rPr>
            </w:pPr>
          </w:p>
        </w:tc>
      </w:tr>
      <w:tr w14:paraId="0259A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405" w:type="pct"/>
            <w:shd w:val="clear" w:color="auto" w:fill="auto"/>
            <w:vAlign w:val="center"/>
          </w:tcPr>
          <w:p w14:paraId="1519C8FE">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w:t>
            </w:r>
          </w:p>
        </w:tc>
        <w:tc>
          <w:tcPr>
            <w:tcW w:w="551" w:type="pct"/>
            <w:shd w:val="clear" w:color="auto" w:fill="auto"/>
            <w:vAlign w:val="center"/>
          </w:tcPr>
          <w:p w14:paraId="2AF704A3">
            <w:pPr>
              <w:jc w:val="center"/>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档案图纸与培训</w:t>
            </w:r>
          </w:p>
        </w:tc>
        <w:tc>
          <w:tcPr>
            <w:tcW w:w="2905" w:type="pct"/>
            <w:gridSpan w:val="2"/>
            <w:vAlign w:val="center"/>
          </w:tcPr>
          <w:p w14:paraId="1EC759D3">
            <w:pPr>
              <w:numPr>
                <w:ilvl w:val="0"/>
                <w:numId w:val="1"/>
              </w:numPr>
              <w:rPr>
                <w:rFonts w:hint="eastAsia" w:ascii="Arial" w:hAnsi="Arial" w:cs="Arial"/>
                <w:color w:val="auto"/>
                <w:sz w:val="24"/>
                <w:szCs w:val="24"/>
                <w:lang w:eastAsia="zh-CN"/>
              </w:rPr>
            </w:pPr>
            <w:r>
              <w:rPr>
                <w:rFonts w:hint="eastAsia" w:ascii="Arial" w:hAnsi="Arial" w:cs="Arial" w:eastAsiaTheme="minorEastAsia"/>
                <w:color w:val="auto"/>
                <w:sz w:val="24"/>
                <w:szCs w:val="24"/>
                <w:lang w:eastAsia="zh-CN"/>
              </w:rPr>
              <w:t>提供改造方案、电气图纸、操作手册及软件备份</w:t>
            </w:r>
            <w:r>
              <w:rPr>
                <w:rFonts w:hint="eastAsia" w:ascii="Arial" w:hAnsi="Arial" w:cs="Arial"/>
                <w:color w:val="auto"/>
                <w:sz w:val="24"/>
                <w:szCs w:val="24"/>
                <w:lang w:eastAsia="zh-CN"/>
              </w:rPr>
              <w:t>；</w:t>
            </w:r>
          </w:p>
          <w:p w14:paraId="1F0D3B92">
            <w:pPr>
              <w:numPr>
                <w:ilvl w:val="0"/>
                <w:numId w:val="1"/>
              </w:numPr>
              <w:rPr>
                <w:rFonts w:hint="eastAsia" w:ascii="Arial" w:hAnsi="Arial" w:cs="Arial"/>
                <w:color w:val="auto"/>
                <w:sz w:val="24"/>
                <w:szCs w:val="24"/>
                <w:lang w:eastAsia="zh-CN"/>
              </w:rPr>
            </w:pPr>
            <w:r>
              <w:rPr>
                <w:rFonts w:hint="eastAsia" w:ascii="Arial" w:hAnsi="Arial" w:cs="Arial"/>
                <w:color w:val="auto"/>
                <w:sz w:val="24"/>
                <w:szCs w:val="24"/>
                <w:lang w:eastAsia="zh-CN"/>
              </w:rPr>
              <w:t>培训内容涵盖控制器操作、故障诊断及日常维护。</w:t>
            </w:r>
          </w:p>
        </w:tc>
        <w:tc>
          <w:tcPr>
            <w:tcW w:w="1138" w:type="pct"/>
            <w:vAlign w:val="center"/>
          </w:tcPr>
          <w:p w14:paraId="74E40D47">
            <w:pPr>
              <w:numPr>
                <w:ilvl w:val="0"/>
                <w:numId w:val="0"/>
              </w:numPr>
              <w:jc w:val="both"/>
              <w:rPr>
                <w:rFonts w:hint="default" w:ascii="宋体" w:hAnsi="宋体" w:eastAsia="宋体" w:cs="宋体"/>
                <w:color w:val="auto"/>
                <w:sz w:val="24"/>
                <w:szCs w:val="24"/>
                <w:highlight w:val="yellow"/>
                <w:lang w:val="en-US" w:eastAsia="zh-CN"/>
              </w:rPr>
            </w:pPr>
          </w:p>
        </w:tc>
      </w:tr>
      <w:tr w14:paraId="28180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jc w:val="center"/>
        </w:trPr>
        <w:tc>
          <w:tcPr>
            <w:tcW w:w="405" w:type="pct"/>
            <w:shd w:val="clear" w:color="auto" w:fill="auto"/>
            <w:vAlign w:val="center"/>
          </w:tcPr>
          <w:p w14:paraId="2B211BB1">
            <w:pPr>
              <w:keepNext w:val="0"/>
              <w:keepLines w:val="0"/>
              <w:pageBreakBefore w:val="0"/>
              <w:widowControl/>
              <w:kinsoku/>
              <w:wordWrap w:val="0"/>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7</w:t>
            </w:r>
          </w:p>
        </w:tc>
        <w:tc>
          <w:tcPr>
            <w:tcW w:w="551" w:type="pct"/>
            <w:shd w:val="clear" w:color="auto" w:fill="auto"/>
            <w:vAlign w:val="center"/>
          </w:tcPr>
          <w:p w14:paraId="0A98445F">
            <w:pPr>
              <w:jc w:val="center"/>
              <w:rPr>
                <w:rFonts w:hint="eastAsia" w:asciiTheme="minorEastAsia" w:hAnsiTheme="minorEastAsia" w:eastAsiaTheme="minorEastAsia" w:cstheme="minorEastAsia"/>
                <w:color w:val="auto"/>
                <w:sz w:val="24"/>
                <w:szCs w:val="24"/>
                <w:lang w:eastAsia="zh-CN"/>
              </w:rPr>
            </w:pPr>
            <w:r>
              <w:rPr>
                <w:rFonts w:hint="eastAsia" w:ascii="宋体" w:hAnsi="宋体" w:eastAsia="宋体" w:cs="宋体"/>
                <w:b w:val="0"/>
                <w:bCs w:val="0"/>
                <w:color w:val="auto"/>
                <w:sz w:val="24"/>
                <w:szCs w:val="24"/>
                <w:lang w:val="en-US" w:eastAsia="zh-CN"/>
              </w:rPr>
              <w:t>维护与升级</w:t>
            </w:r>
          </w:p>
        </w:tc>
        <w:tc>
          <w:tcPr>
            <w:tcW w:w="2905" w:type="pct"/>
            <w:gridSpan w:val="2"/>
            <w:vAlign w:val="center"/>
          </w:tcPr>
          <w:p w14:paraId="290C1A47">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支持固件远程升级，维护周期≥5年备件供应</w:t>
            </w:r>
            <w:r>
              <w:rPr>
                <w:rFonts w:hint="eastAsia" w:asciiTheme="minorEastAsia" w:hAnsiTheme="minorEastAsia" w:cstheme="minorEastAsia"/>
                <w:color w:val="auto"/>
                <w:sz w:val="24"/>
                <w:szCs w:val="24"/>
                <w:lang w:eastAsia="zh-CN"/>
              </w:rPr>
              <w:t>。</w:t>
            </w:r>
          </w:p>
        </w:tc>
        <w:tc>
          <w:tcPr>
            <w:tcW w:w="1138" w:type="pct"/>
            <w:vAlign w:val="center"/>
          </w:tcPr>
          <w:p w14:paraId="3F745A6E">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4"/>
                <w:szCs w:val="24"/>
              </w:rPr>
            </w:pPr>
          </w:p>
        </w:tc>
      </w:tr>
      <w:tr w14:paraId="50CD0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5" w:type="pct"/>
            <w:shd w:val="clear" w:color="auto" w:fill="auto"/>
            <w:vAlign w:val="center"/>
          </w:tcPr>
          <w:p w14:paraId="52A07E91">
            <w:pPr>
              <w:keepNext w:val="0"/>
              <w:keepLines w:val="0"/>
              <w:pageBreakBefore w:val="0"/>
              <w:widowControl/>
              <w:kinsoku/>
              <w:wordWrap w:val="0"/>
              <w:overflowPunct/>
              <w:topLinePunct w:val="0"/>
              <w:autoSpaceDE/>
              <w:autoSpaceDN/>
              <w:bidi w:val="0"/>
              <w:adjustRightInd/>
              <w:snapToGrid/>
              <w:jc w:val="center"/>
              <w:textAlignment w:val="auto"/>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8</w:t>
            </w:r>
          </w:p>
        </w:tc>
        <w:tc>
          <w:tcPr>
            <w:tcW w:w="551" w:type="pct"/>
            <w:shd w:val="clear" w:color="auto" w:fill="auto"/>
            <w:vAlign w:val="center"/>
          </w:tcPr>
          <w:p w14:paraId="0BDF0EAC">
            <w:pPr>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质保期</w:t>
            </w:r>
          </w:p>
        </w:tc>
        <w:tc>
          <w:tcPr>
            <w:tcW w:w="2905" w:type="pct"/>
            <w:gridSpan w:val="2"/>
            <w:vAlign w:val="center"/>
          </w:tcPr>
          <w:p w14:paraId="6BA6EC9C">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提供不少于2年的质保期</w:t>
            </w:r>
          </w:p>
        </w:tc>
        <w:tc>
          <w:tcPr>
            <w:tcW w:w="1138" w:type="pct"/>
            <w:vAlign w:val="center"/>
          </w:tcPr>
          <w:p w14:paraId="1328B3C4">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color w:val="auto"/>
                <w:sz w:val="24"/>
                <w:szCs w:val="24"/>
              </w:rPr>
            </w:pPr>
          </w:p>
        </w:tc>
      </w:tr>
      <w:tr w14:paraId="7AF31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jc w:val="center"/>
        </w:trPr>
        <w:tc>
          <w:tcPr>
            <w:tcW w:w="5000" w:type="pct"/>
            <w:gridSpan w:val="5"/>
            <w:shd w:val="clear" w:color="auto" w:fill="auto"/>
            <w:vAlign w:val="center"/>
          </w:tcPr>
          <w:p w14:paraId="7381F33C">
            <w:pPr>
              <w:pageBreakBefore w:val="0"/>
              <w:kinsoku/>
              <w:wordWrap w:val="0"/>
              <w:overflowPunct/>
              <w:topLinePunct w:val="0"/>
              <w:bidi w:val="0"/>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w:t>
            </w:r>
            <w:r>
              <w:rPr>
                <w:rFonts w:hint="eastAsia" w:ascii="宋体" w:hAnsi="宋体" w:eastAsia="宋体" w:cs="宋体"/>
                <w:color w:val="auto"/>
                <w:sz w:val="24"/>
                <w:szCs w:val="24"/>
                <w:highlight w:val="none"/>
                <w:lang w:val="en-US" w:eastAsia="zh-CN"/>
              </w:rPr>
              <w:t>1.报价人需针对上述技术标准及要求进行一一响应，若存在负偏离的情况请标注。报价人对所承诺偏离情况负责，若中选后实际供货与所承诺产品参数不一致时，采购人有权拒付合同款和拒收该货物，并有权选择要求报价人予以更换、退货或减少合同约定价款，更换后交付的货物仍然不符合约定的，采购人有权单方面无责解除合同，且报价人应按货物总金额的30%向采购人支付违约金，造成损失的报价人应全额赔偿。同时采购人有权视情况的严重程度将报价人列入采购人供应商信息管理库“黑名单”。</w:t>
            </w:r>
          </w:p>
          <w:p w14:paraId="39A78146">
            <w:pPr>
              <w:keepNext w:val="0"/>
              <w:keepLines w:val="0"/>
              <w:pageBreakBefore w:val="0"/>
              <w:widowControl/>
              <w:kinsoku/>
              <w:wordWrap w:val="0"/>
              <w:overflowPunct/>
              <w:topLinePunct w:val="0"/>
              <w:autoSpaceDE/>
              <w:autoSpaceDN/>
              <w:bidi w:val="0"/>
              <w:adjustRightInd/>
              <w:snapToGrid/>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宋体" w:hAnsi="宋体" w:eastAsia="宋体" w:cs="宋体"/>
                <w:color w:val="auto"/>
                <w:sz w:val="24"/>
                <w:szCs w:val="24"/>
                <w:lang w:val="en-US" w:eastAsia="zh-CN"/>
              </w:rPr>
              <w:t>2.报价人若出现一处负偏离情况，视为不通过符合性审查。</w:t>
            </w:r>
          </w:p>
        </w:tc>
      </w:tr>
    </w:tbl>
    <w:p w14:paraId="0691A3CF">
      <w:pPr>
        <w:spacing w:line="360" w:lineRule="auto"/>
        <w:ind w:firstLine="5040" w:firstLineChars="2100"/>
        <w:jc w:val="left"/>
        <w:rPr>
          <w:rFonts w:hint="eastAsia" w:asciiTheme="minorEastAsia" w:hAnsiTheme="minorEastAsia" w:eastAsiaTheme="minorEastAsia" w:cstheme="minorEastAsia"/>
          <w:sz w:val="24"/>
          <w:szCs w:val="32"/>
          <w:lang w:val="en-US" w:eastAsia="zh-CN"/>
        </w:rPr>
      </w:pPr>
    </w:p>
    <w:p w14:paraId="5897B12A">
      <w:pPr>
        <w:spacing w:line="360" w:lineRule="auto"/>
        <w:rPr>
          <w:rFonts w:hint="eastAsia" w:asciiTheme="minorEastAsia" w:hAnsiTheme="minorEastAsia" w:eastAsiaTheme="minorEastAsia" w:cstheme="minorEastAsia"/>
          <w:sz w:val="24"/>
          <w:szCs w:val="32"/>
          <w:lang w:val="en-US" w:eastAsia="zh-CN"/>
        </w:rPr>
      </w:pPr>
    </w:p>
    <w:p w14:paraId="5FB62CB7">
      <w:pPr>
        <w:spacing w:line="360" w:lineRule="auto"/>
        <w:ind w:firstLine="3120" w:firstLineChars="13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法定代表人</w:t>
      </w:r>
      <w:r>
        <w:rPr>
          <w:rFonts w:hint="eastAsia" w:asciiTheme="minorEastAsia" w:hAnsiTheme="minorEastAsia" w:eastAsiaTheme="minorEastAsia" w:cstheme="minorEastAsia"/>
          <w:sz w:val="24"/>
          <w:szCs w:val="32"/>
          <w:lang w:val="en-US" w:eastAsia="zh-CN"/>
        </w:rPr>
        <w:t>/单位负责人</w:t>
      </w:r>
      <w:r>
        <w:rPr>
          <w:rFonts w:hint="eastAsia" w:asciiTheme="minorEastAsia" w:hAnsiTheme="minorEastAsia" w:eastAsiaTheme="minorEastAsia" w:cstheme="minorEastAsia"/>
          <w:sz w:val="24"/>
          <w:szCs w:val="32"/>
        </w:rPr>
        <w:t>或授权委托人：（签字）</w:t>
      </w:r>
    </w:p>
    <w:p w14:paraId="4F72F45F">
      <w:pPr>
        <w:spacing w:line="360" w:lineRule="auto"/>
        <w:ind w:firstLine="5040" w:firstLineChars="2100"/>
        <w:rPr>
          <w:rFonts w:hint="eastAsia" w:asciiTheme="minorEastAsia" w:hAnsiTheme="minorEastAsia" w:eastAsiaTheme="minorEastAsia" w:cstheme="minorEastAsia"/>
          <w:sz w:val="24"/>
          <w:szCs w:val="32"/>
          <w:lang w:val="zh-CN"/>
        </w:rPr>
      </w:pPr>
      <w:r>
        <w:rPr>
          <w:rFonts w:hint="eastAsia" w:asciiTheme="minorEastAsia" w:hAnsiTheme="minorEastAsia" w:eastAsiaTheme="minorEastAsia" w:cstheme="minorEastAsia"/>
          <w:sz w:val="24"/>
          <w:szCs w:val="32"/>
          <w:lang w:val="en-US" w:eastAsia="zh-CN"/>
        </w:rPr>
        <w:t>报价人（单位公章）：</w:t>
      </w:r>
    </w:p>
    <w:p w14:paraId="74E34DF8">
      <w:pPr>
        <w:spacing w:line="360" w:lineRule="auto"/>
        <w:rPr>
          <w:rFonts w:hint="eastAsia" w:asciiTheme="minorEastAsia" w:hAnsiTheme="minorEastAsia" w:eastAsiaTheme="minorEastAsia" w:cstheme="minorEastAsia"/>
          <w:sz w:val="24"/>
          <w:szCs w:val="32"/>
          <w:lang w:val="zh-CN" w:eastAsia="zh-CN"/>
        </w:rPr>
      </w:pPr>
    </w:p>
    <w:p w14:paraId="7CFC7EE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12900D"/>
    <w:multiLevelType w:val="singleLevel"/>
    <w:tmpl w:val="A712900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F31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2025-06-12T03:11:44Z</dcterms:created>
  <dc:creator>Administrator</dc:creator>
  <cp:lastModifiedBy>liyuhong</cp:lastModifiedBy>
  <dcterms:modified xsi:type="dcterms:W3CDTF">2025-06-12T03:11:54Z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eyJoZGlkIjoiYzczYTY0OGFkYzRiN2JkNTY1Y2RmMWRhYzUyYmU0OGUifQ==</vt:lpwstr>
  </property>
  <property fmtid="{D5CDD505-2E9C-101B-9397-08002B2CF9AE}" pid="4" name="ICV">
    <vt:lpwstr>DE3400CFEB724CE088F017B9AADB744D_12</vt:lpwstr>
  </property>
</Properties>
</file>